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C3D20" w14:textId="07E939CF" w:rsidR="00044307" w:rsidRPr="00712EC9" w:rsidRDefault="009C7A26" w:rsidP="001D75A0">
      <w:pPr>
        <w:spacing w:after="0" w:line="240" w:lineRule="auto"/>
        <w:jc w:val="center"/>
        <w:rPr>
          <w:rFonts w:cstheme="minorHAnsi"/>
          <w:b/>
          <w:sz w:val="24"/>
          <w:szCs w:val="24"/>
        </w:rPr>
      </w:pPr>
      <w:r w:rsidRPr="00712EC9">
        <w:rPr>
          <w:rFonts w:cstheme="minorHAnsi"/>
          <w:b/>
          <w:sz w:val="24"/>
          <w:szCs w:val="24"/>
        </w:rPr>
        <w:t xml:space="preserve">AVVISO </w:t>
      </w:r>
      <w:r w:rsidR="00FD563F" w:rsidRPr="00712EC9">
        <w:rPr>
          <w:rFonts w:cstheme="minorHAnsi"/>
          <w:b/>
          <w:sz w:val="24"/>
          <w:szCs w:val="24"/>
        </w:rPr>
        <w:t>1</w:t>
      </w:r>
      <w:r w:rsidRPr="00712EC9">
        <w:rPr>
          <w:rFonts w:cstheme="minorHAnsi"/>
          <w:b/>
          <w:sz w:val="24"/>
          <w:szCs w:val="24"/>
        </w:rPr>
        <w:t>/20</w:t>
      </w:r>
      <w:r w:rsidR="00D97631" w:rsidRPr="00712EC9">
        <w:rPr>
          <w:rFonts w:cstheme="minorHAnsi"/>
          <w:b/>
          <w:sz w:val="24"/>
          <w:szCs w:val="24"/>
        </w:rPr>
        <w:t>2</w:t>
      </w:r>
      <w:r w:rsidR="00FD563F" w:rsidRPr="00712EC9">
        <w:rPr>
          <w:rFonts w:cstheme="minorHAnsi"/>
          <w:b/>
          <w:sz w:val="24"/>
          <w:szCs w:val="24"/>
        </w:rPr>
        <w:t>4</w:t>
      </w:r>
      <w:r w:rsidR="00D97631" w:rsidRPr="00712EC9">
        <w:rPr>
          <w:rFonts w:cstheme="minorHAnsi"/>
          <w:b/>
          <w:sz w:val="24"/>
          <w:szCs w:val="24"/>
        </w:rPr>
        <w:t xml:space="preserve"> </w:t>
      </w:r>
      <w:r w:rsidRPr="00712EC9">
        <w:rPr>
          <w:rFonts w:cstheme="minorHAnsi"/>
          <w:b/>
          <w:sz w:val="24"/>
          <w:szCs w:val="24"/>
        </w:rPr>
        <w:t>FONDI</w:t>
      </w:r>
      <w:r w:rsidR="00C4174A" w:rsidRPr="00712EC9">
        <w:rPr>
          <w:rFonts w:cstheme="minorHAnsi"/>
          <w:b/>
          <w:sz w:val="24"/>
          <w:szCs w:val="24"/>
        </w:rPr>
        <w:t>RIGENTI</w:t>
      </w:r>
    </w:p>
    <w:p w14:paraId="231D565C" w14:textId="650AC831" w:rsidR="00C4174A" w:rsidRPr="00712EC9" w:rsidRDefault="00FD563F" w:rsidP="00FD563F">
      <w:pPr>
        <w:spacing w:after="0" w:line="240" w:lineRule="auto"/>
        <w:jc w:val="center"/>
        <w:rPr>
          <w:rFonts w:cstheme="minorHAnsi"/>
          <w:b/>
          <w:sz w:val="24"/>
          <w:szCs w:val="24"/>
        </w:rPr>
      </w:pPr>
      <w:r w:rsidRPr="00712EC9">
        <w:rPr>
          <w:rFonts w:cstheme="minorHAnsi"/>
          <w:b/>
          <w:sz w:val="24"/>
          <w:szCs w:val="24"/>
        </w:rPr>
        <w:t>TRANSIZIONI DIGITALI: MINDSET E COMPETENZE MANAGERIALI PER LA COMPETITIVITÀ D’IMPRESA</w:t>
      </w:r>
    </w:p>
    <w:p w14:paraId="76783C5F" w14:textId="77777777" w:rsidR="00FD563F" w:rsidRPr="00712EC9" w:rsidRDefault="00FD563F" w:rsidP="00FD563F">
      <w:pPr>
        <w:spacing w:after="0" w:line="240" w:lineRule="auto"/>
        <w:jc w:val="center"/>
        <w:rPr>
          <w:rFonts w:cstheme="minorHAnsi"/>
          <w:sz w:val="20"/>
          <w:szCs w:val="20"/>
        </w:rPr>
      </w:pPr>
    </w:p>
    <w:p w14:paraId="36739E5B" w14:textId="5EBB8186" w:rsidR="00FF5D51" w:rsidRPr="00A12B30" w:rsidRDefault="00FD563F" w:rsidP="00A12B30">
      <w:pPr>
        <w:spacing w:after="0" w:line="240" w:lineRule="auto"/>
        <w:jc w:val="both"/>
        <w:rPr>
          <w:rFonts w:cstheme="minorHAnsi"/>
          <w:sz w:val="20"/>
          <w:szCs w:val="20"/>
        </w:rPr>
      </w:pPr>
      <w:r w:rsidRPr="00712EC9">
        <w:rPr>
          <w:rFonts w:cstheme="minorHAnsi"/>
          <w:sz w:val="20"/>
          <w:szCs w:val="20"/>
        </w:rPr>
        <w:t>L’Avviso 1/2024 intende sostenere lo sviluppo delle competenze manageriali necessarie per il miglior utilizzo dell’innovazione tecnologica e</w:t>
      </w:r>
      <w:r w:rsidR="00947E80">
        <w:rPr>
          <w:rFonts w:cstheme="minorHAnsi"/>
          <w:sz w:val="20"/>
          <w:szCs w:val="20"/>
        </w:rPr>
        <w:t xml:space="preserve"> </w:t>
      </w:r>
      <w:r w:rsidRPr="00712EC9">
        <w:rPr>
          <w:rFonts w:cstheme="minorHAnsi"/>
          <w:sz w:val="20"/>
          <w:szCs w:val="20"/>
        </w:rPr>
        <w:t>in particolare della digitalizzazione, a supporto della competitività aziendale e dell’occupabilità dei dirigenti.</w:t>
      </w:r>
      <w:r w:rsidR="00A12B30">
        <w:rPr>
          <w:rFonts w:cstheme="minorHAnsi"/>
          <w:sz w:val="20"/>
          <w:szCs w:val="20"/>
        </w:rPr>
        <w:t xml:space="preserve"> </w:t>
      </w:r>
      <w:r w:rsidR="00FF5D51" w:rsidRPr="00A12B30">
        <w:rPr>
          <w:rFonts w:cstheme="minorHAnsi"/>
          <w:sz w:val="20"/>
          <w:szCs w:val="20"/>
        </w:rPr>
        <w:t>I Beneficiari degli interventi formativi e del finanziamento sono esclusivamente le imprese aderenti o neo-aderenti a Fondirigenti</w:t>
      </w:r>
      <w:r w:rsidRPr="00A12B30">
        <w:rPr>
          <w:rFonts w:cstheme="minorHAnsi"/>
          <w:sz w:val="20"/>
          <w:szCs w:val="20"/>
        </w:rPr>
        <w:t>.</w:t>
      </w:r>
    </w:p>
    <w:p w14:paraId="36FA023A" w14:textId="248688B2" w:rsidR="00C4174A" w:rsidRPr="00712EC9" w:rsidRDefault="00A12B30" w:rsidP="00A12B30">
      <w:pPr>
        <w:pStyle w:val="Default"/>
        <w:jc w:val="both"/>
        <w:rPr>
          <w:rFonts w:asciiTheme="minorHAnsi" w:hAnsiTheme="minorHAnsi" w:cstheme="minorHAnsi"/>
          <w:sz w:val="20"/>
          <w:szCs w:val="20"/>
        </w:rPr>
      </w:pPr>
      <w:r>
        <w:rPr>
          <w:rFonts w:asciiTheme="minorHAnsi" w:hAnsiTheme="minorHAnsi" w:cstheme="minorHAnsi"/>
          <w:sz w:val="20"/>
          <w:szCs w:val="20"/>
        </w:rPr>
        <w:t>Gli interventi</w:t>
      </w:r>
      <w:r w:rsidR="00682699" w:rsidRPr="00712EC9">
        <w:rPr>
          <w:rFonts w:asciiTheme="minorHAnsi" w:hAnsiTheme="minorHAnsi" w:cstheme="minorHAnsi"/>
          <w:sz w:val="20"/>
          <w:szCs w:val="20"/>
        </w:rPr>
        <w:t xml:space="preserve"> formativ</w:t>
      </w:r>
      <w:r>
        <w:rPr>
          <w:rFonts w:asciiTheme="minorHAnsi" w:hAnsiTheme="minorHAnsi" w:cstheme="minorHAnsi"/>
          <w:sz w:val="20"/>
          <w:szCs w:val="20"/>
        </w:rPr>
        <w:t>i</w:t>
      </w:r>
      <w:r w:rsidR="00682699" w:rsidRPr="00712EC9">
        <w:rPr>
          <w:rFonts w:asciiTheme="minorHAnsi" w:hAnsiTheme="minorHAnsi" w:cstheme="minorHAnsi"/>
          <w:sz w:val="20"/>
          <w:szCs w:val="20"/>
        </w:rPr>
        <w:t xml:space="preserve"> dovranno fare riferimento ad un</w:t>
      </w:r>
      <w:r>
        <w:rPr>
          <w:rFonts w:asciiTheme="minorHAnsi" w:hAnsiTheme="minorHAnsi" w:cstheme="minorHAnsi"/>
          <w:sz w:val="20"/>
          <w:szCs w:val="20"/>
        </w:rPr>
        <w:t>o</w:t>
      </w:r>
      <w:r w:rsidR="00682699" w:rsidRPr="00712EC9">
        <w:rPr>
          <w:rFonts w:asciiTheme="minorHAnsi" w:hAnsiTheme="minorHAnsi" w:cstheme="minorHAnsi"/>
          <w:sz w:val="20"/>
          <w:szCs w:val="20"/>
        </w:rPr>
        <w:t xml:space="preserve"> de</w:t>
      </w:r>
      <w:r>
        <w:rPr>
          <w:rFonts w:asciiTheme="minorHAnsi" w:hAnsiTheme="minorHAnsi" w:cstheme="minorHAnsi"/>
          <w:sz w:val="20"/>
          <w:szCs w:val="20"/>
        </w:rPr>
        <w:t>i</w:t>
      </w:r>
      <w:r w:rsidR="00682699" w:rsidRPr="00712EC9">
        <w:rPr>
          <w:rFonts w:asciiTheme="minorHAnsi" w:hAnsiTheme="minorHAnsi" w:cstheme="minorHAnsi"/>
          <w:sz w:val="20"/>
          <w:szCs w:val="20"/>
        </w:rPr>
        <w:t xml:space="preserve"> seguenti </w:t>
      </w:r>
      <w:proofErr w:type="gramStart"/>
      <w:r w:rsidRPr="00712EC9">
        <w:rPr>
          <w:rFonts w:asciiTheme="minorHAnsi" w:hAnsiTheme="minorHAnsi" w:cstheme="minorHAnsi"/>
          <w:color w:val="auto"/>
          <w:sz w:val="20"/>
          <w:szCs w:val="20"/>
        </w:rPr>
        <w:t>4</w:t>
      </w:r>
      <w:proofErr w:type="gramEnd"/>
      <w:r w:rsidRPr="00712EC9">
        <w:rPr>
          <w:rFonts w:asciiTheme="minorHAnsi" w:hAnsiTheme="minorHAnsi" w:cstheme="minorHAnsi"/>
          <w:color w:val="auto"/>
          <w:sz w:val="20"/>
          <w:szCs w:val="20"/>
        </w:rPr>
        <w:t xml:space="preserve"> macro-ambiti: strategie; processi, organizzazione, capacità individuali</w:t>
      </w:r>
      <w:r>
        <w:rPr>
          <w:rFonts w:asciiTheme="minorHAnsi" w:hAnsiTheme="minorHAnsi" w:cstheme="minorHAnsi"/>
          <w:sz w:val="20"/>
          <w:szCs w:val="20"/>
        </w:rPr>
        <w:t>. A</w:t>
      </w:r>
      <w:r w:rsidR="00AF7C2D" w:rsidRPr="00712EC9">
        <w:rPr>
          <w:rFonts w:asciiTheme="minorHAnsi" w:hAnsiTheme="minorHAnsi" w:cstheme="minorHAnsi"/>
          <w:sz w:val="20"/>
          <w:szCs w:val="20"/>
        </w:rPr>
        <w:t xml:space="preserve"> titolo esemplificativo</w:t>
      </w:r>
      <w:r>
        <w:rPr>
          <w:rFonts w:asciiTheme="minorHAnsi" w:hAnsiTheme="minorHAnsi" w:cstheme="minorHAnsi"/>
          <w:sz w:val="20"/>
          <w:szCs w:val="20"/>
        </w:rPr>
        <w:t>:</w:t>
      </w:r>
    </w:p>
    <w:p w14:paraId="1DC25A3E" w14:textId="77777777" w:rsidR="00682699" w:rsidRPr="00712EC9" w:rsidRDefault="00682699" w:rsidP="00A12B30">
      <w:pPr>
        <w:pStyle w:val="Default"/>
        <w:jc w:val="both"/>
        <w:rPr>
          <w:rFonts w:asciiTheme="minorHAnsi" w:hAnsiTheme="minorHAnsi" w:cstheme="minorHAnsi"/>
          <w:sz w:val="20"/>
          <w:szCs w:val="20"/>
        </w:rPr>
      </w:pPr>
    </w:p>
    <w:tbl>
      <w:tblPr>
        <w:tblStyle w:val="Grigliatabella"/>
        <w:tblW w:w="9985" w:type="dxa"/>
        <w:tblBorders>
          <w:top w:val="single" w:sz="4" w:space="0" w:color="99FFCC"/>
          <w:left w:val="single" w:sz="4" w:space="0" w:color="99FFCC"/>
          <w:bottom w:val="single" w:sz="4" w:space="0" w:color="99FFCC"/>
          <w:right w:val="single" w:sz="4" w:space="0" w:color="99FFCC"/>
          <w:insideH w:val="single" w:sz="6" w:space="0" w:color="99FFCC"/>
          <w:insideV w:val="single" w:sz="6" w:space="0" w:color="99FFCC"/>
        </w:tblBorders>
        <w:tblLayout w:type="fixed"/>
        <w:tblLook w:val="04A0" w:firstRow="1" w:lastRow="0" w:firstColumn="1" w:lastColumn="0" w:noHBand="0" w:noVBand="1"/>
      </w:tblPr>
      <w:tblGrid>
        <w:gridCol w:w="1555"/>
        <w:gridCol w:w="8430"/>
      </w:tblGrid>
      <w:tr w:rsidR="00907F7E" w:rsidRPr="00712EC9" w14:paraId="7EA01766" w14:textId="5B1BF3E6" w:rsidTr="00A12B30">
        <w:trPr>
          <w:trHeight w:val="287"/>
        </w:trPr>
        <w:tc>
          <w:tcPr>
            <w:tcW w:w="1555" w:type="dxa"/>
            <w:shd w:val="clear" w:color="auto" w:fill="auto"/>
          </w:tcPr>
          <w:p w14:paraId="42E66F61" w14:textId="005B7981" w:rsidR="00907F7E" w:rsidRPr="00712EC9" w:rsidRDefault="00907F7E" w:rsidP="00A12B30">
            <w:pPr>
              <w:pStyle w:val="Default"/>
              <w:jc w:val="both"/>
              <w:rPr>
                <w:rFonts w:asciiTheme="minorHAnsi" w:hAnsiTheme="minorHAnsi" w:cstheme="minorHAnsi"/>
                <w:b/>
                <w:bCs/>
                <w:sz w:val="20"/>
                <w:szCs w:val="20"/>
              </w:rPr>
            </w:pPr>
            <w:r w:rsidRPr="00712EC9">
              <w:rPr>
                <w:rFonts w:asciiTheme="minorHAnsi" w:hAnsiTheme="minorHAnsi" w:cstheme="minorHAnsi"/>
                <w:sz w:val="20"/>
                <w:szCs w:val="20"/>
              </w:rPr>
              <w:t>Strategie di sostenibilità</w:t>
            </w:r>
          </w:p>
        </w:tc>
        <w:tc>
          <w:tcPr>
            <w:tcW w:w="8430" w:type="dxa"/>
            <w:shd w:val="clear" w:color="auto" w:fill="auto"/>
          </w:tcPr>
          <w:p w14:paraId="779F34EF" w14:textId="7CC91890" w:rsidR="00907F7E" w:rsidRPr="00712EC9" w:rsidRDefault="00907F7E" w:rsidP="00A12B30">
            <w:pPr>
              <w:pStyle w:val="Default"/>
              <w:numPr>
                <w:ilvl w:val="0"/>
                <w:numId w:val="17"/>
              </w:numPr>
              <w:tabs>
                <w:tab w:val="left" w:pos="945"/>
              </w:tabs>
              <w:jc w:val="both"/>
              <w:rPr>
                <w:rFonts w:asciiTheme="minorHAnsi" w:hAnsiTheme="minorHAnsi" w:cstheme="minorHAnsi"/>
                <w:sz w:val="20"/>
                <w:szCs w:val="20"/>
              </w:rPr>
            </w:pPr>
            <w:r w:rsidRPr="00712EC9">
              <w:rPr>
                <w:rFonts w:asciiTheme="minorHAnsi" w:hAnsiTheme="minorHAnsi" w:cstheme="minorHAnsi"/>
                <w:sz w:val="20"/>
                <w:szCs w:val="20"/>
              </w:rPr>
              <w:t>Tecnologie per la riduzione dei consumi di materie prime, di acqua, di energia e per l’efficientamento di risorse</w:t>
            </w:r>
          </w:p>
          <w:p w14:paraId="0F0492A9" w14:textId="77777777" w:rsidR="00907F7E" w:rsidRPr="00712EC9" w:rsidRDefault="00907F7E" w:rsidP="00A12B30">
            <w:pPr>
              <w:pStyle w:val="Default"/>
              <w:numPr>
                <w:ilvl w:val="0"/>
                <w:numId w:val="17"/>
              </w:numPr>
              <w:tabs>
                <w:tab w:val="left" w:pos="945"/>
              </w:tabs>
              <w:jc w:val="both"/>
              <w:rPr>
                <w:rFonts w:asciiTheme="minorHAnsi" w:hAnsiTheme="minorHAnsi" w:cstheme="minorHAnsi"/>
                <w:sz w:val="20"/>
                <w:szCs w:val="20"/>
              </w:rPr>
            </w:pPr>
            <w:r w:rsidRPr="00712EC9">
              <w:rPr>
                <w:rFonts w:asciiTheme="minorHAnsi" w:hAnsiTheme="minorHAnsi" w:cstheme="minorHAnsi"/>
                <w:sz w:val="20"/>
                <w:szCs w:val="20"/>
              </w:rPr>
              <w:t>Intelligenza artificiale per lo sviluppo di innovazione, sostenibilità e processi di economia circolare</w:t>
            </w:r>
          </w:p>
          <w:p w14:paraId="2FA1DD78" w14:textId="77777777" w:rsidR="00907F7E" w:rsidRPr="00712EC9" w:rsidRDefault="00907F7E" w:rsidP="00A12B30">
            <w:pPr>
              <w:pStyle w:val="Default"/>
              <w:numPr>
                <w:ilvl w:val="0"/>
                <w:numId w:val="17"/>
              </w:numPr>
              <w:tabs>
                <w:tab w:val="left" w:pos="945"/>
              </w:tabs>
              <w:jc w:val="both"/>
              <w:rPr>
                <w:rFonts w:asciiTheme="minorHAnsi" w:hAnsiTheme="minorHAnsi" w:cstheme="minorHAnsi"/>
                <w:sz w:val="20"/>
                <w:szCs w:val="20"/>
              </w:rPr>
            </w:pPr>
            <w:r w:rsidRPr="00712EC9">
              <w:rPr>
                <w:rFonts w:asciiTheme="minorHAnsi" w:hAnsiTheme="minorHAnsi" w:cstheme="minorHAnsi"/>
                <w:sz w:val="20"/>
                <w:szCs w:val="20"/>
              </w:rPr>
              <w:t xml:space="preserve">Data </w:t>
            </w:r>
            <w:proofErr w:type="spellStart"/>
            <w:r w:rsidRPr="00712EC9">
              <w:rPr>
                <w:rFonts w:asciiTheme="minorHAnsi" w:hAnsiTheme="minorHAnsi" w:cstheme="minorHAnsi"/>
                <w:sz w:val="20"/>
                <w:szCs w:val="20"/>
              </w:rPr>
              <w:t>analysis</w:t>
            </w:r>
            <w:proofErr w:type="spellEnd"/>
            <w:r w:rsidRPr="00712EC9">
              <w:rPr>
                <w:rFonts w:asciiTheme="minorHAnsi" w:hAnsiTheme="minorHAnsi" w:cstheme="minorHAnsi"/>
                <w:sz w:val="20"/>
                <w:szCs w:val="20"/>
              </w:rPr>
              <w:t xml:space="preserve"> per il monitoraggio degli obiettivi ESG</w:t>
            </w:r>
          </w:p>
          <w:p w14:paraId="3C4FF505" w14:textId="4E23888E" w:rsidR="00907F7E" w:rsidRPr="00712EC9" w:rsidRDefault="00907F7E" w:rsidP="00A12B30">
            <w:pPr>
              <w:pStyle w:val="Default"/>
              <w:numPr>
                <w:ilvl w:val="0"/>
                <w:numId w:val="17"/>
              </w:numPr>
              <w:tabs>
                <w:tab w:val="left" w:pos="945"/>
              </w:tabs>
              <w:jc w:val="both"/>
              <w:rPr>
                <w:rFonts w:asciiTheme="minorHAnsi" w:hAnsiTheme="minorHAnsi" w:cstheme="minorHAnsi"/>
                <w:sz w:val="20"/>
                <w:szCs w:val="20"/>
              </w:rPr>
            </w:pPr>
            <w:r w:rsidRPr="00712EC9">
              <w:rPr>
                <w:rFonts w:asciiTheme="minorHAnsi" w:hAnsiTheme="minorHAnsi" w:cstheme="minorHAnsi"/>
                <w:sz w:val="20"/>
                <w:szCs w:val="20"/>
              </w:rPr>
              <w:t>Competenze digitali per lo sviluppo di progetti orientati al green e alla sostenibilità</w:t>
            </w:r>
          </w:p>
          <w:p w14:paraId="1D4BC3B7" w14:textId="0978A839" w:rsidR="00907F7E" w:rsidRPr="00712EC9" w:rsidRDefault="00907F7E" w:rsidP="00A12B30">
            <w:pPr>
              <w:pStyle w:val="Default"/>
              <w:numPr>
                <w:ilvl w:val="0"/>
                <w:numId w:val="17"/>
              </w:numPr>
              <w:tabs>
                <w:tab w:val="left" w:pos="945"/>
              </w:tabs>
              <w:jc w:val="both"/>
              <w:rPr>
                <w:rFonts w:asciiTheme="minorHAnsi" w:hAnsiTheme="minorHAnsi" w:cstheme="minorHAnsi"/>
                <w:b/>
                <w:bCs/>
                <w:sz w:val="20"/>
                <w:szCs w:val="20"/>
              </w:rPr>
            </w:pPr>
            <w:r w:rsidRPr="00712EC9">
              <w:rPr>
                <w:rFonts w:asciiTheme="minorHAnsi" w:hAnsiTheme="minorHAnsi" w:cstheme="minorHAnsi"/>
                <w:sz w:val="20"/>
                <w:szCs w:val="20"/>
              </w:rPr>
              <w:t>Sistemi evoluti di utilizzo dei dati per l’efficientamento e la diminuzione di consumi e per la promozione di pratiche sostenibili; Sistemi di monitoraggio e loro interazione con i sistemi di automazione</w:t>
            </w:r>
          </w:p>
        </w:tc>
      </w:tr>
      <w:tr w:rsidR="00907F7E" w:rsidRPr="00712EC9" w14:paraId="5CEE6961" w14:textId="77777777" w:rsidTr="00A12B30">
        <w:trPr>
          <w:trHeight w:val="287"/>
        </w:trPr>
        <w:tc>
          <w:tcPr>
            <w:tcW w:w="1555" w:type="dxa"/>
          </w:tcPr>
          <w:p w14:paraId="3A12578F" w14:textId="67765CEC" w:rsidR="00907F7E" w:rsidRPr="00712EC9" w:rsidRDefault="00907F7E" w:rsidP="00A12B30">
            <w:pPr>
              <w:pStyle w:val="Default"/>
              <w:jc w:val="both"/>
              <w:rPr>
                <w:rFonts w:asciiTheme="minorHAnsi" w:hAnsiTheme="minorHAnsi" w:cstheme="minorHAnsi"/>
                <w:sz w:val="20"/>
                <w:szCs w:val="20"/>
              </w:rPr>
            </w:pPr>
            <w:r w:rsidRPr="00712EC9">
              <w:rPr>
                <w:rFonts w:asciiTheme="minorHAnsi" w:hAnsiTheme="minorHAnsi" w:cstheme="minorHAnsi"/>
                <w:sz w:val="20"/>
                <w:szCs w:val="20"/>
              </w:rPr>
              <w:t>Processi aziendali</w:t>
            </w:r>
          </w:p>
        </w:tc>
        <w:tc>
          <w:tcPr>
            <w:tcW w:w="8430" w:type="dxa"/>
          </w:tcPr>
          <w:p w14:paraId="41B3F7BE" w14:textId="77777777" w:rsidR="00907F7E" w:rsidRPr="00712EC9" w:rsidRDefault="00907F7E" w:rsidP="00A12B30">
            <w:pPr>
              <w:pStyle w:val="Default"/>
              <w:numPr>
                <w:ilvl w:val="0"/>
                <w:numId w:val="18"/>
              </w:numPr>
              <w:jc w:val="both"/>
              <w:rPr>
                <w:rFonts w:asciiTheme="minorHAnsi" w:hAnsiTheme="minorHAnsi" w:cstheme="minorHAnsi"/>
                <w:sz w:val="20"/>
                <w:szCs w:val="20"/>
              </w:rPr>
            </w:pPr>
            <w:r w:rsidRPr="00712EC9">
              <w:rPr>
                <w:rFonts w:asciiTheme="minorHAnsi" w:hAnsiTheme="minorHAnsi" w:cstheme="minorHAnsi"/>
                <w:sz w:val="20"/>
                <w:szCs w:val="20"/>
              </w:rPr>
              <w:t>Digital Lean</w:t>
            </w:r>
          </w:p>
          <w:p w14:paraId="731343B3" w14:textId="77777777" w:rsidR="00907F7E" w:rsidRPr="00712EC9" w:rsidRDefault="00907F7E" w:rsidP="00A12B30">
            <w:pPr>
              <w:pStyle w:val="Default"/>
              <w:numPr>
                <w:ilvl w:val="0"/>
                <w:numId w:val="18"/>
              </w:numPr>
              <w:jc w:val="both"/>
              <w:rPr>
                <w:rFonts w:asciiTheme="minorHAnsi" w:hAnsiTheme="minorHAnsi" w:cstheme="minorHAnsi"/>
                <w:sz w:val="20"/>
                <w:szCs w:val="20"/>
              </w:rPr>
            </w:pPr>
            <w:r w:rsidRPr="00712EC9">
              <w:rPr>
                <w:rFonts w:asciiTheme="minorHAnsi" w:hAnsiTheme="minorHAnsi" w:cstheme="minorHAnsi"/>
                <w:sz w:val="20"/>
                <w:szCs w:val="20"/>
              </w:rPr>
              <w:t>Digital supply chain</w:t>
            </w:r>
          </w:p>
          <w:p w14:paraId="4AFE3C5D" w14:textId="77777777" w:rsidR="00907F7E" w:rsidRPr="00712EC9" w:rsidRDefault="00907F7E" w:rsidP="00A12B30">
            <w:pPr>
              <w:pStyle w:val="Default"/>
              <w:numPr>
                <w:ilvl w:val="0"/>
                <w:numId w:val="18"/>
              </w:numPr>
              <w:jc w:val="both"/>
              <w:rPr>
                <w:rFonts w:asciiTheme="minorHAnsi" w:hAnsiTheme="minorHAnsi" w:cstheme="minorHAnsi"/>
                <w:sz w:val="20"/>
                <w:szCs w:val="20"/>
              </w:rPr>
            </w:pPr>
            <w:r w:rsidRPr="00712EC9">
              <w:rPr>
                <w:rFonts w:asciiTheme="minorHAnsi" w:hAnsiTheme="minorHAnsi" w:cstheme="minorHAnsi"/>
                <w:sz w:val="20"/>
                <w:szCs w:val="20"/>
              </w:rPr>
              <w:t xml:space="preserve">Ridefinizione della catena di fornitura tramite Internet of </w:t>
            </w:r>
            <w:proofErr w:type="spellStart"/>
            <w:r w:rsidRPr="00712EC9">
              <w:rPr>
                <w:rFonts w:asciiTheme="minorHAnsi" w:hAnsiTheme="minorHAnsi" w:cstheme="minorHAnsi"/>
                <w:sz w:val="20"/>
                <w:szCs w:val="20"/>
              </w:rPr>
              <w:t>Things</w:t>
            </w:r>
            <w:proofErr w:type="spellEnd"/>
            <w:r w:rsidRPr="00712EC9">
              <w:rPr>
                <w:rFonts w:asciiTheme="minorHAnsi" w:hAnsiTheme="minorHAnsi" w:cstheme="minorHAnsi"/>
                <w:sz w:val="20"/>
                <w:szCs w:val="20"/>
              </w:rPr>
              <w:t xml:space="preserve"> </w:t>
            </w:r>
          </w:p>
          <w:p w14:paraId="420DB8FB"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Business intelligence</w:t>
            </w:r>
          </w:p>
          <w:p w14:paraId="753ED4A6"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 xml:space="preserve">Big Data </w:t>
            </w:r>
          </w:p>
          <w:p w14:paraId="4391DB89" w14:textId="0670E69C"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Business Analytics</w:t>
            </w:r>
          </w:p>
          <w:p w14:paraId="392052F4"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Digital marketing</w:t>
            </w:r>
          </w:p>
          <w:p w14:paraId="628A8988"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 xml:space="preserve">Marketing analytics </w:t>
            </w:r>
          </w:p>
          <w:p w14:paraId="256E59D7"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CRM</w:t>
            </w:r>
          </w:p>
          <w:p w14:paraId="45B059A2"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Social media analysis</w:t>
            </w:r>
          </w:p>
          <w:p w14:paraId="27EF114B"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proofErr w:type="spellStart"/>
            <w:r w:rsidRPr="00712EC9">
              <w:rPr>
                <w:rFonts w:asciiTheme="minorHAnsi" w:hAnsiTheme="minorHAnsi" w:cstheme="minorHAnsi"/>
                <w:sz w:val="20"/>
                <w:szCs w:val="20"/>
                <w:lang w:val="en-US"/>
              </w:rPr>
              <w:t>Strategie</w:t>
            </w:r>
            <w:proofErr w:type="spellEnd"/>
            <w:r w:rsidRPr="00712EC9">
              <w:rPr>
                <w:rFonts w:asciiTheme="minorHAnsi" w:hAnsiTheme="minorHAnsi" w:cstheme="minorHAnsi"/>
                <w:sz w:val="20"/>
                <w:szCs w:val="20"/>
                <w:lang w:val="en-US"/>
              </w:rPr>
              <w:t xml:space="preserve"> e </w:t>
            </w:r>
            <w:proofErr w:type="spellStart"/>
            <w:r w:rsidRPr="00712EC9">
              <w:rPr>
                <w:rFonts w:asciiTheme="minorHAnsi" w:hAnsiTheme="minorHAnsi" w:cstheme="minorHAnsi"/>
                <w:sz w:val="20"/>
                <w:szCs w:val="20"/>
                <w:lang w:val="en-US"/>
              </w:rPr>
              <w:t>tattiche</w:t>
            </w:r>
            <w:proofErr w:type="spellEnd"/>
            <w:r w:rsidRPr="00712EC9">
              <w:rPr>
                <w:rFonts w:asciiTheme="minorHAnsi" w:hAnsiTheme="minorHAnsi" w:cstheme="minorHAnsi"/>
                <w:sz w:val="20"/>
                <w:szCs w:val="20"/>
                <w:lang w:val="en-US"/>
              </w:rPr>
              <w:t xml:space="preserve"> di Marketing 5.0</w:t>
            </w:r>
          </w:p>
          <w:p w14:paraId="7A5E969B" w14:textId="77777777" w:rsidR="00907F7E" w:rsidRPr="00712EC9" w:rsidRDefault="00907F7E" w:rsidP="00A12B30">
            <w:pPr>
              <w:pStyle w:val="Default"/>
              <w:numPr>
                <w:ilvl w:val="0"/>
                <w:numId w:val="18"/>
              </w:numPr>
              <w:jc w:val="both"/>
              <w:rPr>
                <w:rFonts w:asciiTheme="minorHAnsi" w:hAnsiTheme="minorHAnsi" w:cstheme="minorHAnsi"/>
                <w:sz w:val="20"/>
                <w:szCs w:val="20"/>
                <w:lang w:val="en-US"/>
              </w:rPr>
            </w:pPr>
            <w:r w:rsidRPr="00712EC9">
              <w:rPr>
                <w:rFonts w:asciiTheme="minorHAnsi" w:hAnsiTheme="minorHAnsi" w:cstheme="minorHAnsi"/>
                <w:sz w:val="20"/>
                <w:szCs w:val="20"/>
                <w:lang w:val="en-US"/>
              </w:rPr>
              <w:t>Cyber Security e Blockchain technology</w:t>
            </w:r>
          </w:p>
          <w:p w14:paraId="18DAF460" w14:textId="77777777" w:rsidR="00907F7E" w:rsidRPr="00712EC9" w:rsidRDefault="00907F7E" w:rsidP="00A12B30">
            <w:pPr>
              <w:pStyle w:val="Default"/>
              <w:numPr>
                <w:ilvl w:val="0"/>
                <w:numId w:val="18"/>
              </w:numPr>
              <w:jc w:val="both"/>
              <w:rPr>
                <w:rFonts w:asciiTheme="minorHAnsi" w:hAnsiTheme="minorHAnsi" w:cstheme="minorHAnsi"/>
                <w:sz w:val="20"/>
                <w:szCs w:val="20"/>
              </w:rPr>
            </w:pPr>
            <w:r w:rsidRPr="00712EC9">
              <w:rPr>
                <w:rFonts w:asciiTheme="minorHAnsi" w:hAnsiTheme="minorHAnsi" w:cstheme="minorHAnsi"/>
                <w:sz w:val="20"/>
                <w:szCs w:val="20"/>
              </w:rPr>
              <w:t xml:space="preserve">Manifattura additiva, Machine learning e Machine </w:t>
            </w:r>
            <w:proofErr w:type="spellStart"/>
            <w:r w:rsidRPr="00712EC9">
              <w:rPr>
                <w:rFonts w:asciiTheme="minorHAnsi" w:hAnsiTheme="minorHAnsi" w:cstheme="minorHAnsi"/>
                <w:sz w:val="20"/>
                <w:szCs w:val="20"/>
              </w:rPr>
              <w:t>collaboration</w:t>
            </w:r>
            <w:proofErr w:type="spellEnd"/>
          </w:p>
          <w:p w14:paraId="48636331" w14:textId="77777777" w:rsidR="00907F7E" w:rsidRPr="00712EC9" w:rsidRDefault="00907F7E" w:rsidP="00A12B30">
            <w:pPr>
              <w:pStyle w:val="Default"/>
              <w:numPr>
                <w:ilvl w:val="0"/>
                <w:numId w:val="18"/>
              </w:numPr>
              <w:jc w:val="both"/>
              <w:rPr>
                <w:rFonts w:asciiTheme="minorHAnsi" w:hAnsiTheme="minorHAnsi" w:cstheme="minorHAnsi"/>
                <w:sz w:val="20"/>
                <w:szCs w:val="20"/>
              </w:rPr>
            </w:pPr>
            <w:r w:rsidRPr="00712EC9">
              <w:rPr>
                <w:rFonts w:asciiTheme="minorHAnsi" w:hAnsiTheme="minorHAnsi" w:cstheme="minorHAnsi"/>
                <w:sz w:val="20"/>
                <w:szCs w:val="20"/>
              </w:rPr>
              <w:t>Intelligenza artificiale</w:t>
            </w:r>
          </w:p>
          <w:p w14:paraId="6CB5DEBD" w14:textId="5B257E19" w:rsidR="00907F7E" w:rsidRPr="00712EC9" w:rsidRDefault="00907F7E" w:rsidP="00A12B30">
            <w:pPr>
              <w:pStyle w:val="Default"/>
              <w:numPr>
                <w:ilvl w:val="0"/>
                <w:numId w:val="18"/>
              </w:numPr>
              <w:jc w:val="both"/>
              <w:rPr>
                <w:rFonts w:asciiTheme="minorHAnsi" w:hAnsiTheme="minorHAnsi" w:cstheme="minorHAnsi"/>
                <w:sz w:val="20"/>
                <w:szCs w:val="20"/>
              </w:rPr>
            </w:pPr>
            <w:r w:rsidRPr="00712EC9">
              <w:rPr>
                <w:rFonts w:asciiTheme="minorHAnsi" w:hAnsiTheme="minorHAnsi" w:cstheme="minorHAnsi"/>
                <w:sz w:val="20"/>
                <w:szCs w:val="20"/>
              </w:rPr>
              <w:t>Realtà aumentata, Multiverso e Metaverso</w:t>
            </w:r>
          </w:p>
        </w:tc>
      </w:tr>
      <w:tr w:rsidR="00907F7E" w:rsidRPr="00712EC9" w14:paraId="3887F5EA" w14:textId="77777777" w:rsidTr="00A12B30">
        <w:trPr>
          <w:trHeight w:val="287"/>
        </w:trPr>
        <w:tc>
          <w:tcPr>
            <w:tcW w:w="1555" w:type="dxa"/>
          </w:tcPr>
          <w:p w14:paraId="29A622F0" w14:textId="6DECB833" w:rsidR="00907F7E" w:rsidRPr="00712EC9" w:rsidRDefault="00AF7C2D" w:rsidP="00A12B30">
            <w:pPr>
              <w:pStyle w:val="Default"/>
              <w:jc w:val="both"/>
              <w:rPr>
                <w:rFonts w:asciiTheme="minorHAnsi" w:hAnsiTheme="minorHAnsi" w:cstheme="minorHAnsi"/>
                <w:sz w:val="20"/>
                <w:szCs w:val="20"/>
              </w:rPr>
            </w:pPr>
            <w:r w:rsidRPr="00712EC9">
              <w:rPr>
                <w:rFonts w:asciiTheme="minorHAnsi" w:hAnsiTheme="minorHAnsi" w:cstheme="minorHAnsi"/>
                <w:sz w:val="20"/>
                <w:szCs w:val="20"/>
              </w:rPr>
              <w:t>Organizzazione del lavoro</w:t>
            </w:r>
          </w:p>
        </w:tc>
        <w:tc>
          <w:tcPr>
            <w:tcW w:w="8430" w:type="dxa"/>
          </w:tcPr>
          <w:p w14:paraId="111BD54E" w14:textId="77777777" w:rsidR="00AF7C2D"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 xml:space="preserve">Strumenti digitali per la progettazione e pianificazione delle modalità e dei processi lavorativi </w:t>
            </w:r>
          </w:p>
          <w:p w14:paraId="29677A76" w14:textId="77777777" w:rsidR="00AF7C2D"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 xml:space="preserve">Strumenti digitali per il recruiting </w:t>
            </w:r>
          </w:p>
          <w:p w14:paraId="4C688441" w14:textId="77777777" w:rsidR="00AF7C2D"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 xml:space="preserve">Strumenti digitali per la valutazione delle performance </w:t>
            </w:r>
          </w:p>
          <w:p w14:paraId="659725DB" w14:textId="6F777BDD" w:rsidR="00907F7E"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Strumenti digitali per gestire i servizi di welfare e per lo sviluppo del Capitale Umano</w:t>
            </w:r>
          </w:p>
        </w:tc>
      </w:tr>
      <w:tr w:rsidR="00907F7E" w:rsidRPr="00712EC9" w14:paraId="0166DFA4" w14:textId="77777777" w:rsidTr="00A12B30">
        <w:trPr>
          <w:trHeight w:val="287"/>
        </w:trPr>
        <w:tc>
          <w:tcPr>
            <w:tcW w:w="1555" w:type="dxa"/>
          </w:tcPr>
          <w:p w14:paraId="666BC5A1" w14:textId="00B2EA3C" w:rsidR="00907F7E" w:rsidRPr="00712EC9" w:rsidRDefault="00AF7C2D" w:rsidP="00A12B30">
            <w:pPr>
              <w:pStyle w:val="Default"/>
              <w:jc w:val="both"/>
              <w:rPr>
                <w:rFonts w:asciiTheme="minorHAnsi" w:hAnsiTheme="minorHAnsi" w:cstheme="minorHAnsi"/>
                <w:sz w:val="20"/>
                <w:szCs w:val="20"/>
              </w:rPr>
            </w:pPr>
            <w:r w:rsidRPr="00712EC9">
              <w:rPr>
                <w:rFonts w:asciiTheme="minorHAnsi" w:hAnsiTheme="minorHAnsi" w:cstheme="minorHAnsi"/>
                <w:sz w:val="20"/>
                <w:szCs w:val="20"/>
              </w:rPr>
              <w:t>Capacità individuali</w:t>
            </w:r>
          </w:p>
        </w:tc>
        <w:tc>
          <w:tcPr>
            <w:tcW w:w="8430" w:type="dxa"/>
          </w:tcPr>
          <w:p w14:paraId="01B9E646" w14:textId="77777777" w:rsidR="00AF7C2D"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Capacità di organizzare e capitalizzare la connessione tra reti e comunità virtuali (Knowledge Networking)</w:t>
            </w:r>
          </w:p>
          <w:p w14:paraId="33983D39" w14:textId="5D077254" w:rsidR="00AF7C2D"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 xml:space="preserve">Capacità di comunicare efficacemente, coordinare i progetti e gestire la propria identità digitale in ambienti digitali (Virtual </w:t>
            </w:r>
            <w:proofErr w:type="spellStart"/>
            <w:r w:rsidRPr="00712EC9">
              <w:rPr>
                <w:rFonts w:asciiTheme="minorHAnsi" w:hAnsiTheme="minorHAnsi" w:cstheme="minorHAnsi"/>
                <w:sz w:val="20"/>
                <w:szCs w:val="20"/>
              </w:rPr>
              <w:t>Communication</w:t>
            </w:r>
            <w:proofErr w:type="spellEnd"/>
            <w:r w:rsidRPr="00712EC9">
              <w:rPr>
                <w:rFonts w:asciiTheme="minorHAnsi" w:hAnsiTheme="minorHAnsi" w:cstheme="minorHAnsi"/>
                <w:sz w:val="20"/>
                <w:szCs w:val="20"/>
              </w:rPr>
              <w:t>)</w:t>
            </w:r>
          </w:p>
          <w:p w14:paraId="5282B6C8" w14:textId="68EBA7FB" w:rsidR="00AF7C2D"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Capacità di usare correttamente gli strumenti digitali con la dovuta attenzione</w:t>
            </w:r>
          </w:p>
          <w:p w14:paraId="4F89A421" w14:textId="4CDDB2E6" w:rsidR="00907F7E" w:rsidRPr="00712EC9" w:rsidRDefault="00AF7C2D" w:rsidP="00A12B30">
            <w:pPr>
              <w:pStyle w:val="Default"/>
              <w:numPr>
                <w:ilvl w:val="0"/>
                <w:numId w:val="19"/>
              </w:numPr>
              <w:jc w:val="both"/>
              <w:rPr>
                <w:rFonts w:asciiTheme="minorHAnsi" w:hAnsiTheme="minorHAnsi" w:cstheme="minorHAnsi"/>
                <w:sz w:val="20"/>
                <w:szCs w:val="20"/>
              </w:rPr>
            </w:pPr>
            <w:r w:rsidRPr="00712EC9">
              <w:rPr>
                <w:rFonts w:asciiTheme="minorHAnsi" w:hAnsiTheme="minorHAnsi" w:cstheme="minorHAnsi"/>
                <w:sz w:val="20"/>
                <w:szCs w:val="20"/>
              </w:rPr>
              <w:t xml:space="preserve">all’equilibrio tra vita professionale e salute personale (Digital </w:t>
            </w:r>
            <w:proofErr w:type="spellStart"/>
            <w:r w:rsidRPr="00712EC9">
              <w:rPr>
                <w:rFonts w:asciiTheme="minorHAnsi" w:hAnsiTheme="minorHAnsi" w:cstheme="minorHAnsi"/>
                <w:sz w:val="20"/>
                <w:szCs w:val="20"/>
              </w:rPr>
              <w:t>Awareness</w:t>
            </w:r>
            <w:proofErr w:type="spellEnd"/>
            <w:r w:rsidRPr="00712EC9">
              <w:rPr>
                <w:rFonts w:asciiTheme="minorHAnsi" w:hAnsiTheme="minorHAnsi" w:cstheme="minorHAnsi"/>
                <w:sz w:val="20"/>
                <w:szCs w:val="20"/>
              </w:rPr>
              <w:t>): proteggere i dispositivi, proteggere i dati personali e la privacy, tutelare la salute e il benessere, Netiquette.</w:t>
            </w:r>
          </w:p>
        </w:tc>
      </w:tr>
    </w:tbl>
    <w:p w14:paraId="03233C9C" w14:textId="77777777" w:rsidR="00783183" w:rsidRPr="00712EC9" w:rsidRDefault="00783183" w:rsidP="00A12B30">
      <w:pPr>
        <w:spacing w:after="0" w:line="240" w:lineRule="auto"/>
        <w:jc w:val="both"/>
        <w:rPr>
          <w:rFonts w:cstheme="minorHAnsi"/>
          <w:sz w:val="20"/>
          <w:szCs w:val="20"/>
        </w:rPr>
      </w:pPr>
    </w:p>
    <w:p w14:paraId="694C5207" w14:textId="4D56DC57" w:rsidR="006904AB" w:rsidRPr="00712EC9" w:rsidRDefault="004B325A" w:rsidP="00A12B30">
      <w:pPr>
        <w:spacing w:after="0" w:line="240" w:lineRule="auto"/>
        <w:jc w:val="both"/>
        <w:rPr>
          <w:rFonts w:cstheme="minorHAnsi"/>
          <w:b/>
          <w:bCs/>
          <w:sz w:val="20"/>
          <w:szCs w:val="20"/>
        </w:rPr>
      </w:pPr>
      <w:r w:rsidRPr="00712EC9">
        <w:rPr>
          <w:rFonts w:cstheme="minorHAnsi"/>
          <w:b/>
          <w:bCs/>
          <w:sz w:val="20"/>
          <w:szCs w:val="20"/>
        </w:rPr>
        <w:t>RISORSE E PARAMETRI DI AMMISSIBILITÀ</w:t>
      </w:r>
    </w:p>
    <w:p w14:paraId="0FEC4983" w14:textId="77777777" w:rsidR="00712EC9" w:rsidRPr="00712EC9" w:rsidRDefault="00712EC9" w:rsidP="00A12B30">
      <w:pPr>
        <w:spacing w:after="0" w:line="240" w:lineRule="auto"/>
        <w:jc w:val="both"/>
        <w:rPr>
          <w:rFonts w:cstheme="minorHAnsi"/>
          <w:sz w:val="20"/>
          <w:szCs w:val="20"/>
        </w:rPr>
      </w:pPr>
      <w:r w:rsidRPr="00712EC9">
        <w:rPr>
          <w:rFonts w:cstheme="minorHAnsi"/>
          <w:sz w:val="20"/>
          <w:szCs w:val="20"/>
        </w:rPr>
        <w:t>O</w:t>
      </w:r>
      <w:r w:rsidR="006904AB" w:rsidRPr="00712EC9">
        <w:rPr>
          <w:rFonts w:cstheme="minorHAnsi"/>
          <w:sz w:val="20"/>
          <w:szCs w:val="20"/>
        </w:rPr>
        <w:t>gni azienda potrà essere beneficiaria di un solo Piano</w:t>
      </w:r>
      <w:r w:rsidRPr="00712EC9">
        <w:rPr>
          <w:rFonts w:cstheme="minorHAnsi"/>
          <w:sz w:val="20"/>
          <w:szCs w:val="20"/>
        </w:rPr>
        <w:t>; i</w:t>
      </w:r>
      <w:r w:rsidR="006904AB" w:rsidRPr="00712EC9">
        <w:rPr>
          <w:rFonts w:cstheme="minorHAnsi"/>
          <w:sz w:val="20"/>
          <w:szCs w:val="20"/>
        </w:rPr>
        <w:t>l valore massimo ammissibile di ogni piano non potrà superare i 12.500,00 euro</w:t>
      </w:r>
      <w:r w:rsidRPr="00712EC9">
        <w:rPr>
          <w:rFonts w:cstheme="minorHAnsi"/>
          <w:sz w:val="20"/>
          <w:szCs w:val="20"/>
        </w:rPr>
        <w:t xml:space="preserve">. </w:t>
      </w:r>
    </w:p>
    <w:p w14:paraId="43C5622B" w14:textId="2510C899" w:rsidR="007C2414" w:rsidRPr="00712EC9" w:rsidRDefault="00712EC9" w:rsidP="00A12B30">
      <w:pPr>
        <w:spacing w:after="0" w:line="240" w:lineRule="auto"/>
        <w:jc w:val="both"/>
        <w:rPr>
          <w:rFonts w:cstheme="minorHAnsi"/>
          <w:sz w:val="20"/>
          <w:szCs w:val="20"/>
        </w:rPr>
      </w:pPr>
      <w:r w:rsidRPr="00712EC9">
        <w:rPr>
          <w:rFonts w:cstheme="minorHAnsi"/>
          <w:sz w:val="20"/>
          <w:szCs w:val="20"/>
        </w:rPr>
        <w:t>L</w:t>
      </w:r>
      <w:r w:rsidR="007C2414" w:rsidRPr="00712EC9">
        <w:rPr>
          <w:rFonts w:cstheme="minorHAnsi"/>
          <w:sz w:val="20"/>
          <w:szCs w:val="20"/>
        </w:rPr>
        <w:t xml:space="preserve">o stanziamento complessivo è pari a </w:t>
      </w:r>
      <w:proofErr w:type="gramStart"/>
      <w:r w:rsidR="007C2414" w:rsidRPr="00712EC9">
        <w:rPr>
          <w:rFonts w:cstheme="minorHAnsi"/>
          <w:sz w:val="20"/>
          <w:szCs w:val="20"/>
        </w:rPr>
        <w:t>1</w:t>
      </w:r>
      <w:r w:rsidRPr="00712EC9">
        <w:rPr>
          <w:rFonts w:cstheme="minorHAnsi"/>
          <w:sz w:val="20"/>
          <w:szCs w:val="20"/>
        </w:rPr>
        <w:t>0</w:t>
      </w:r>
      <w:proofErr w:type="gramEnd"/>
      <w:r w:rsidR="007C2414" w:rsidRPr="00712EC9">
        <w:rPr>
          <w:rFonts w:cstheme="minorHAnsi"/>
          <w:sz w:val="20"/>
          <w:szCs w:val="20"/>
        </w:rPr>
        <w:t xml:space="preserve"> milion</w:t>
      </w:r>
      <w:r w:rsidRPr="00712EC9">
        <w:rPr>
          <w:rFonts w:cstheme="minorHAnsi"/>
          <w:sz w:val="20"/>
          <w:szCs w:val="20"/>
        </w:rPr>
        <w:t>i</w:t>
      </w:r>
      <w:r w:rsidR="007C2414" w:rsidRPr="00712EC9">
        <w:rPr>
          <w:rFonts w:cstheme="minorHAnsi"/>
          <w:sz w:val="20"/>
          <w:szCs w:val="20"/>
        </w:rPr>
        <w:t xml:space="preserve"> di euro.</w:t>
      </w:r>
    </w:p>
    <w:p w14:paraId="33242065" w14:textId="77777777" w:rsidR="00FF5D51" w:rsidRPr="00712EC9" w:rsidRDefault="00FF5D51" w:rsidP="00A12B30">
      <w:pPr>
        <w:spacing w:after="0" w:line="240" w:lineRule="auto"/>
        <w:jc w:val="both"/>
        <w:rPr>
          <w:rFonts w:cstheme="minorHAnsi"/>
          <w:sz w:val="20"/>
          <w:szCs w:val="20"/>
        </w:rPr>
      </w:pPr>
    </w:p>
    <w:p w14:paraId="067BE5BB" w14:textId="656A5F83" w:rsidR="004B5190" w:rsidRPr="00712EC9" w:rsidRDefault="00907F7E" w:rsidP="00A12B30">
      <w:pPr>
        <w:spacing w:after="0" w:line="240" w:lineRule="auto"/>
        <w:jc w:val="both"/>
        <w:rPr>
          <w:rFonts w:cstheme="minorHAnsi"/>
          <w:b/>
          <w:bCs/>
          <w:sz w:val="20"/>
          <w:szCs w:val="20"/>
        </w:rPr>
      </w:pPr>
      <w:r w:rsidRPr="00712EC9">
        <w:rPr>
          <w:rFonts w:cstheme="minorHAnsi"/>
          <w:b/>
          <w:bCs/>
          <w:sz w:val="20"/>
          <w:szCs w:val="20"/>
        </w:rPr>
        <w:t>TIPOLOGIA DI PIANI FORMATIVI</w:t>
      </w:r>
    </w:p>
    <w:p w14:paraId="0A48D97B" w14:textId="77777777" w:rsidR="00907F7E" w:rsidRPr="00712EC9" w:rsidRDefault="00907F7E" w:rsidP="00A12B30">
      <w:pPr>
        <w:spacing w:after="0" w:line="240" w:lineRule="auto"/>
        <w:jc w:val="both"/>
        <w:rPr>
          <w:rFonts w:cstheme="minorHAnsi"/>
          <w:sz w:val="20"/>
          <w:szCs w:val="20"/>
        </w:rPr>
      </w:pPr>
      <w:r w:rsidRPr="00712EC9">
        <w:rPr>
          <w:rFonts w:cstheme="minorHAnsi"/>
          <w:sz w:val="20"/>
          <w:szCs w:val="20"/>
        </w:rPr>
        <w:t xml:space="preserve">L’Avviso finanzia due diverse tipologie di Piani formativi: </w:t>
      </w:r>
    </w:p>
    <w:p w14:paraId="55F29BC8" w14:textId="16CA3FAB" w:rsidR="00907F7E" w:rsidRPr="00712EC9" w:rsidRDefault="00907F7E" w:rsidP="00A12B30">
      <w:pPr>
        <w:pStyle w:val="Paragrafoelenco"/>
        <w:numPr>
          <w:ilvl w:val="0"/>
          <w:numId w:val="16"/>
        </w:numPr>
        <w:spacing w:after="0" w:line="240" w:lineRule="auto"/>
        <w:jc w:val="both"/>
        <w:rPr>
          <w:rFonts w:cstheme="minorHAnsi"/>
          <w:sz w:val="20"/>
          <w:szCs w:val="20"/>
        </w:rPr>
      </w:pPr>
      <w:r w:rsidRPr="00712EC9">
        <w:rPr>
          <w:rFonts w:cstheme="minorHAnsi"/>
          <w:sz w:val="20"/>
          <w:szCs w:val="20"/>
        </w:rPr>
        <w:t xml:space="preserve">il Piano aziendale </w:t>
      </w:r>
      <w:r w:rsidRPr="00712EC9">
        <w:rPr>
          <w:rFonts w:cstheme="minorHAnsi"/>
          <w:sz w:val="20"/>
          <w:szCs w:val="20"/>
          <w:u w:val="single"/>
        </w:rPr>
        <w:t>Singolo</w:t>
      </w:r>
      <w:r w:rsidRPr="00712EC9">
        <w:rPr>
          <w:rFonts w:cstheme="minorHAnsi"/>
          <w:sz w:val="20"/>
          <w:szCs w:val="20"/>
        </w:rPr>
        <w:t xml:space="preserve"> (presentato da una singola azienda per rispondere a specifici fabbisogni formativi e obiettivi di crescita manageriale e aziendale); </w:t>
      </w:r>
    </w:p>
    <w:p w14:paraId="5354C24D" w14:textId="2B2F16C4" w:rsidR="00907F7E" w:rsidRPr="00712EC9" w:rsidRDefault="00907F7E" w:rsidP="00A12B30">
      <w:pPr>
        <w:pStyle w:val="Paragrafoelenco"/>
        <w:numPr>
          <w:ilvl w:val="0"/>
          <w:numId w:val="16"/>
        </w:numPr>
        <w:spacing w:after="0" w:line="240" w:lineRule="auto"/>
        <w:jc w:val="both"/>
        <w:rPr>
          <w:rFonts w:cstheme="minorHAnsi"/>
          <w:sz w:val="20"/>
          <w:szCs w:val="20"/>
        </w:rPr>
      </w:pPr>
      <w:r w:rsidRPr="00712EC9">
        <w:rPr>
          <w:rFonts w:cstheme="minorHAnsi"/>
          <w:sz w:val="20"/>
          <w:szCs w:val="20"/>
        </w:rPr>
        <w:lastRenderedPageBreak/>
        <w:t xml:space="preserve">il Piano aziendale </w:t>
      </w:r>
      <w:r w:rsidRPr="00712EC9">
        <w:rPr>
          <w:rFonts w:cstheme="minorHAnsi"/>
          <w:sz w:val="20"/>
          <w:szCs w:val="20"/>
          <w:u w:val="single"/>
        </w:rPr>
        <w:t>Aggregato</w:t>
      </w:r>
      <w:r w:rsidRPr="00712EC9">
        <w:rPr>
          <w:rFonts w:cstheme="minorHAnsi"/>
          <w:sz w:val="20"/>
          <w:szCs w:val="20"/>
        </w:rPr>
        <w:t xml:space="preserve"> (in cui 3-6 aziende, indipendentemente dalla loro dimensione, territorio o settore di appartenenza, decidono di realizzare un percorso formativo comune, in tutto o in parte, in funzione di una motivazione e di obiettivi di crescita condivisi chiaramente descritti nelle proposte formative).</w:t>
      </w:r>
    </w:p>
    <w:p w14:paraId="53EA1EEB" w14:textId="77777777" w:rsidR="00907F7E" w:rsidRPr="00712EC9" w:rsidRDefault="00907F7E" w:rsidP="00A12B30">
      <w:pPr>
        <w:spacing w:after="0" w:line="240" w:lineRule="auto"/>
        <w:jc w:val="both"/>
        <w:rPr>
          <w:rFonts w:cstheme="minorHAnsi"/>
          <w:sz w:val="20"/>
          <w:szCs w:val="20"/>
        </w:rPr>
      </w:pPr>
    </w:p>
    <w:p w14:paraId="277A885E" w14:textId="77777777" w:rsidR="00FF5D51" w:rsidRPr="00712EC9" w:rsidRDefault="00FF5D51" w:rsidP="00A12B30">
      <w:pPr>
        <w:spacing w:after="0" w:line="240" w:lineRule="auto"/>
        <w:jc w:val="both"/>
        <w:rPr>
          <w:rFonts w:cstheme="minorHAnsi"/>
          <w:b/>
          <w:sz w:val="20"/>
          <w:szCs w:val="20"/>
        </w:rPr>
      </w:pPr>
      <w:r w:rsidRPr="00712EC9">
        <w:rPr>
          <w:rFonts w:cstheme="minorHAnsi"/>
          <w:b/>
          <w:sz w:val="20"/>
          <w:szCs w:val="20"/>
        </w:rPr>
        <w:t>DESTINATARI</w:t>
      </w:r>
    </w:p>
    <w:p w14:paraId="5F718955" w14:textId="477BEFE6" w:rsidR="00FF5D51" w:rsidRPr="00712EC9" w:rsidRDefault="00FF5D51" w:rsidP="00A12B30">
      <w:pPr>
        <w:spacing w:after="0" w:line="240" w:lineRule="auto"/>
        <w:jc w:val="both"/>
        <w:rPr>
          <w:rFonts w:cstheme="minorHAnsi"/>
          <w:bCs/>
          <w:sz w:val="20"/>
          <w:szCs w:val="20"/>
        </w:rPr>
      </w:pPr>
      <w:r w:rsidRPr="00712EC9">
        <w:rPr>
          <w:rFonts w:cstheme="minorHAnsi"/>
          <w:bCs/>
          <w:sz w:val="20"/>
          <w:szCs w:val="20"/>
        </w:rPr>
        <w:t>I Destinatari degli interventi formativi sono esclusivamente i dirigenti occupati presso le aziende aderenti o neo-aderenti a Fondirigenti</w:t>
      </w:r>
      <w:r w:rsidR="00FD563F" w:rsidRPr="00712EC9">
        <w:rPr>
          <w:rFonts w:cstheme="minorHAnsi"/>
          <w:bCs/>
          <w:sz w:val="20"/>
          <w:szCs w:val="20"/>
        </w:rPr>
        <w:t xml:space="preserve">. </w:t>
      </w:r>
      <w:r w:rsidRPr="00712EC9">
        <w:rPr>
          <w:rFonts w:cstheme="minorHAnsi"/>
          <w:bCs/>
          <w:sz w:val="20"/>
          <w:szCs w:val="20"/>
        </w:rPr>
        <w:t>Alle attività formative è altresì ammessa la partecipazione di uditori.</w:t>
      </w:r>
    </w:p>
    <w:p w14:paraId="6E5F53B2" w14:textId="77777777" w:rsidR="004B5190" w:rsidRPr="00712EC9" w:rsidRDefault="004B5190" w:rsidP="00A12B30">
      <w:pPr>
        <w:spacing w:after="0" w:line="240" w:lineRule="auto"/>
        <w:jc w:val="both"/>
        <w:rPr>
          <w:rFonts w:cstheme="minorHAnsi"/>
          <w:b/>
          <w:bCs/>
          <w:sz w:val="20"/>
          <w:szCs w:val="20"/>
        </w:rPr>
      </w:pPr>
    </w:p>
    <w:p w14:paraId="68925CD3" w14:textId="68663877" w:rsidR="00783183" w:rsidRPr="00712EC9" w:rsidRDefault="004B325A" w:rsidP="00A12B30">
      <w:pPr>
        <w:spacing w:after="0" w:line="240" w:lineRule="auto"/>
        <w:jc w:val="both"/>
        <w:rPr>
          <w:rFonts w:cstheme="minorHAnsi"/>
          <w:b/>
          <w:bCs/>
          <w:sz w:val="20"/>
          <w:szCs w:val="20"/>
        </w:rPr>
      </w:pPr>
      <w:r w:rsidRPr="00712EC9">
        <w:rPr>
          <w:rFonts w:cstheme="minorHAnsi"/>
          <w:b/>
          <w:bCs/>
          <w:sz w:val="20"/>
          <w:szCs w:val="20"/>
        </w:rPr>
        <w:t xml:space="preserve">CONDIVISIONE DEL PIANO </w:t>
      </w:r>
    </w:p>
    <w:p w14:paraId="69D258EB" w14:textId="1173A472" w:rsidR="00D25904" w:rsidRPr="00712EC9" w:rsidRDefault="006904AB" w:rsidP="00A12B30">
      <w:pPr>
        <w:spacing w:after="0" w:line="240" w:lineRule="auto"/>
        <w:jc w:val="both"/>
        <w:rPr>
          <w:rFonts w:cstheme="minorHAnsi"/>
          <w:bCs/>
          <w:sz w:val="20"/>
          <w:szCs w:val="20"/>
        </w:rPr>
      </w:pPr>
      <w:r w:rsidRPr="00712EC9">
        <w:rPr>
          <w:rFonts w:cstheme="minorHAnsi"/>
          <w:sz w:val="20"/>
          <w:szCs w:val="20"/>
        </w:rPr>
        <w:t>I</w:t>
      </w:r>
      <w:r w:rsidR="00783183" w:rsidRPr="00712EC9">
        <w:rPr>
          <w:rFonts w:cstheme="minorHAnsi"/>
          <w:sz w:val="20"/>
          <w:szCs w:val="20"/>
        </w:rPr>
        <w:t>l</w:t>
      </w:r>
      <w:r w:rsidR="009F2A96" w:rsidRPr="00712EC9">
        <w:rPr>
          <w:rFonts w:cstheme="minorHAnsi"/>
          <w:sz w:val="20"/>
          <w:szCs w:val="20"/>
        </w:rPr>
        <w:t xml:space="preserve"> piano deve essere condiviso </w:t>
      </w:r>
      <w:r w:rsidR="00783183" w:rsidRPr="00712EC9">
        <w:rPr>
          <w:rFonts w:cstheme="minorHAnsi"/>
          <w:sz w:val="20"/>
          <w:szCs w:val="20"/>
        </w:rPr>
        <w:t>tramite apposita funzionalità nell’Area riservata dei Proponenti dalle Rappresentanze territoriali di Confindustria e Federmanager</w:t>
      </w:r>
      <w:r w:rsidR="00783183" w:rsidRPr="00712EC9">
        <w:rPr>
          <w:rFonts w:cstheme="minorHAnsi"/>
          <w:bCs/>
          <w:sz w:val="20"/>
          <w:szCs w:val="20"/>
        </w:rPr>
        <w:t>; tale condivisione potrà essere espressa a livello aziendale solo nei casi in cui esista all’interno dell’azienda una rappresentanza sindacale dei dirigenti riconosciuta da Federmanager.</w:t>
      </w:r>
    </w:p>
    <w:p w14:paraId="4DB571A4" w14:textId="77777777" w:rsidR="004B5190" w:rsidRPr="00712EC9" w:rsidRDefault="004B5190" w:rsidP="00A12B30">
      <w:pPr>
        <w:spacing w:after="0" w:line="240" w:lineRule="auto"/>
        <w:jc w:val="both"/>
        <w:rPr>
          <w:rFonts w:cstheme="minorHAnsi"/>
          <w:bCs/>
          <w:sz w:val="20"/>
          <w:szCs w:val="20"/>
        </w:rPr>
      </w:pPr>
    </w:p>
    <w:p w14:paraId="459B348A" w14:textId="77777777" w:rsidR="00FF5D51" w:rsidRPr="00712EC9" w:rsidRDefault="00FF5D51" w:rsidP="00A12B30">
      <w:pPr>
        <w:spacing w:after="0" w:line="240" w:lineRule="auto"/>
        <w:jc w:val="both"/>
        <w:rPr>
          <w:rFonts w:cstheme="minorHAnsi"/>
          <w:b/>
          <w:sz w:val="20"/>
          <w:szCs w:val="20"/>
        </w:rPr>
      </w:pPr>
      <w:r w:rsidRPr="00712EC9">
        <w:rPr>
          <w:rFonts w:cstheme="minorHAnsi"/>
          <w:b/>
          <w:sz w:val="20"/>
          <w:szCs w:val="20"/>
        </w:rPr>
        <w:t>REGIME DI AIUTI</w:t>
      </w:r>
    </w:p>
    <w:p w14:paraId="6E3B72CA" w14:textId="77777777" w:rsidR="00FF5D51" w:rsidRPr="00712EC9" w:rsidRDefault="00FF5D51" w:rsidP="00A12B30">
      <w:pPr>
        <w:spacing w:after="0" w:line="240" w:lineRule="auto"/>
        <w:jc w:val="both"/>
        <w:rPr>
          <w:rFonts w:cstheme="minorHAnsi"/>
          <w:sz w:val="20"/>
          <w:szCs w:val="20"/>
        </w:rPr>
      </w:pPr>
      <w:r w:rsidRPr="00712EC9">
        <w:rPr>
          <w:rFonts w:cstheme="minorHAnsi"/>
          <w:sz w:val="20"/>
          <w:szCs w:val="20"/>
        </w:rPr>
        <w:t>Le imprese beneficiarie devono optare espressamente per uno dei seguenti regolamenti comunitari:</w:t>
      </w:r>
    </w:p>
    <w:p w14:paraId="79AF955B" w14:textId="77777777" w:rsidR="00FF5D51" w:rsidRPr="00712EC9" w:rsidRDefault="00FF5D51" w:rsidP="00A12B30">
      <w:pPr>
        <w:pStyle w:val="Paragrafoelenco"/>
        <w:numPr>
          <w:ilvl w:val="0"/>
          <w:numId w:val="3"/>
        </w:numPr>
        <w:spacing w:after="0" w:line="240" w:lineRule="auto"/>
        <w:jc w:val="both"/>
        <w:rPr>
          <w:rFonts w:cstheme="minorHAnsi"/>
          <w:sz w:val="20"/>
          <w:szCs w:val="20"/>
        </w:rPr>
      </w:pPr>
      <w:r w:rsidRPr="00712EC9">
        <w:rPr>
          <w:rFonts w:cstheme="minorHAnsi"/>
          <w:sz w:val="20"/>
          <w:szCs w:val="20"/>
        </w:rPr>
        <w:t xml:space="preserve">Reg. UE n. 651/2014 – regime di esenzione </w:t>
      </w:r>
      <w:r w:rsidRPr="00712EC9">
        <w:rPr>
          <w:rFonts w:cstheme="minorHAnsi"/>
          <w:sz w:val="20"/>
          <w:szCs w:val="20"/>
          <w:u w:val="single"/>
        </w:rPr>
        <w:t>oppure</w:t>
      </w:r>
    </w:p>
    <w:p w14:paraId="6001CC80" w14:textId="5B4BC435" w:rsidR="00FF5D51" w:rsidRPr="00712EC9" w:rsidRDefault="00FF5D51" w:rsidP="00A12B30">
      <w:pPr>
        <w:pStyle w:val="Paragrafoelenco"/>
        <w:numPr>
          <w:ilvl w:val="0"/>
          <w:numId w:val="3"/>
        </w:numPr>
        <w:spacing w:after="0" w:line="240" w:lineRule="auto"/>
        <w:jc w:val="both"/>
        <w:rPr>
          <w:rFonts w:cstheme="minorHAnsi"/>
          <w:sz w:val="20"/>
          <w:szCs w:val="20"/>
        </w:rPr>
      </w:pPr>
      <w:r w:rsidRPr="00712EC9">
        <w:rPr>
          <w:rFonts w:cstheme="minorHAnsi"/>
          <w:sz w:val="20"/>
          <w:szCs w:val="20"/>
        </w:rPr>
        <w:t xml:space="preserve">Reg. UE n. </w:t>
      </w:r>
      <w:r w:rsidR="00712EC9" w:rsidRPr="00712EC9">
        <w:rPr>
          <w:rFonts w:cstheme="minorHAnsi"/>
          <w:sz w:val="20"/>
          <w:szCs w:val="20"/>
        </w:rPr>
        <w:t>2831</w:t>
      </w:r>
      <w:r w:rsidRPr="00712EC9">
        <w:rPr>
          <w:rFonts w:cstheme="minorHAnsi"/>
          <w:sz w:val="20"/>
          <w:szCs w:val="20"/>
        </w:rPr>
        <w:t>/201</w:t>
      </w:r>
      <w:r w:rsidR="00712EC9" w:rsidRPr="00712EC9">
        <w:rPr>
          <w:rFonts w:cstheme="minorHAnsi"/>
          <w:sz w:val="20"/>
          <w:szCs w:val="20"/>
        </w:rPr>
        <w:t xml:space="preserve">23 </w:t>
      </w:r>
      <w:r w:rsidRPr="00712EC9">
        <w:rPr>
          <w:rFonts w:cstheme="minorHAnsi"/>
          <w:sz w:val="20"/>
          <w:szCs w:val="20"/>
        </w:rPr>
        <w:t xml:space="preserve">– regime de </w:t>
      </w:r>
      <w:proofErr w:type="spellStart"/>
      <w:r w:rsidRPr="00712EC9">
        <w:rPr>
          <w:rFonts w:cstheme="minorHAnsi"/>
          <w:sz w:val="20"/>
          <w:szCs w:val="20"/>
        </w:rPr>
        <w:t>minimis</w:t>
      </w:r>
      <w:proofErr w:type="spellEnd"/>
      <w:r w:rsidRPr="00712EC9">
        <w:rPr>
          <w:rFonts w:cstheme="minorHAnsi"/>
          <w:sz w:val="20"/>
          <w:szCs w:val="20"/>
        </w:rPr>
        <w:t>.</w:t>
      </w:r>
    </w:p>
    <w:p w14:paraId="57DC0D11" w14:textId="77777777" w:rsidR="007C2414" w:rsidRPr="00712EC9" w:rsidRDefault="007C2414" w:rsidP="00A12B30">
      <w:pPr>
        <w:pStyle w:val="Paragrafoelenco"/>
        <w:spacing w:after="0" w:line="240" w:lineRule="auto"/>
        <w:jc w:val="both"/>
        <w:rPr>
          <w:rFonts w:cstheme="minorHAnsi"/>
          <w:sz w:val="20"/>
          <w:szCs w:val="20"/>
        </w:rPr>
      </w:pPr>
    </w:p>
    <w:p w14:paraId="550A93A5" w14:textId="1E5E186F" w:rsidR="00FF5D51" w:rsidRPr="00712EC9" w:rsidRDefault="00FF5D51" w:rsidP="00A12B30">
      <w:pPr>
        <w:spacing w:after="0" w:line="240" w:lineRule="auto"/>
        <w:jc w:val="both"/>
        <w:rPr>
          <w:rFonts w:cstheme="minorHAnsi"/>
          <w:b/>
          <w:sz w:val="20"/>
          <w:szCs w:val="20"/>
        </w:rPr>
      </w:pPr>
      <w:r w:rsidRPr="00712EC9">
        <w:rPr>
          <w:rFonts w:cstheme="minorHAnsi"/>
          <w:b/>
          <w:sz w:val="20"/>
          <w:szCs w:val="20"/>
        </w:rPr>
        <w:t xml:space="preserve">DURATA DEL PIANO </w:t>
      </w:r>
    </w:p>
    <w:p w14:paraId="11CF099F" w14:textId="77777777" w:rsidR="00FF5D51" w:rsidRPr="00712EC9" w:rsidRDefault="00FF5D51" w:rsidP="00A12B30">
      <w:pPr>
        <w:spacing w:after="0" w:line="240" w:lineRule="auto"/>
        <w:jc w:val="both"/>
        <w:rPr>
          <w:rFonts w:cstheme="minorHAnsi"/>
          <w:bCs/>
          <w:sz w:val="20"/>
          <w:szCs w:val="20"/>
        </w:rPr>
      </w:pPr>
      <w:r w:rsidRPr="00712EC9">
        <w:rPr>
          <w:rFonts w:cstheme="minorHAnsi"/>
          <w:bCs/>
          <w:sz w:val="20"/>
          <w:szCs w:val="20"/>
        </w:rPr>
        <w:t>Le attività formative non potranno iniziare prima della pubblicazione della graduatoria.</w:t>
      </w:r>
    </w:p>
    <w:p w14:paraId="4EB0C2B9" w14:textId="77777777" w:rsidR="00FF5D51" w:rsidRPr="00712EC9" w:rsidRDefault="00FF5D51" w:rsidP="00A12B30">
      <w:pPr>
        <w:spacing w:after="0" w:line="240" w:lineRule="auto"/>
        <w:jc w:val="both"/>
        <w:rPr>
          <w:rFonts w:cstheme="minorHAnsi"/>
          <w:b/>
          <w:sz w:val="20"/>
          <w:szCs w:val="20"/>
        </w:rPr>
      </w:pPr>
      <w:r w:rsidRPr="00712EC9">
        <w:rPr>
          <w:rFonts w:cstheme="minorHAnsi"/>
          <w:bCs/>
          <w:sz w:val="20"/>
          <w:szCs w:val="20"/>
        </w:rPr>
        <w:t>Il termine per l’invio della rendicontazione è fissato in</w:t>
      </w:r>
      <w:r w:rsidRPr="00712EC9">
        <w:rPr>
          <w:rFonts w:cstheme="minorHAnsi"/>
          <w:b/>
          <w:sz w:val="20"/>
          <w:szCs w:val="20"/>
        </w:rPr>
        <w:t xml:space="preserve"> </w:t>
      </w:r>
      <w:r w:rsidRPr="00712EC9">
        <w:rPr>
          <w:rFonts w:cstheme="minorHAnsi"/>
          <w:b/>
          <w:bCs/>
          <w:sz w:val="20"/>
          <w:szCs w:val="20"/>
        </w:rPr>
        <w:t>210 giorni solari</w:t>
      </w:r>
      <w:r w:rsidRPr="00712EC9">
        <w:rPr>
          <w:rFonts w:cstheme="minorHAnsi"/>
          <w:sz w:val="20"/>
          <w:szCs w:val="20"/>
        </w:rPr>
        <w:t xml:space="preserve"> dalla data di ricevimento della comunicazione di ammissione al finanziamento del Piano stesso.</w:t>
      </w:r>
    </w:p>
    <w:p w14:paraId="6AFE6286" w14:textId="77777777" w:rsidR="00FF5D51" w:rsidRPr="00712EC9" w:rsidRDefault="00FF5D51" w:rsidP="00A12B30">
      <w:pPr>
        <w:spacing w:after="0" w:line="240" w:lineRule="auto"/>
        <w:jc w:val="both"/>
        <w:rPr>
          <w:rFonts w:cstheme="minorHAnsi"/>
          <w:b/>
          <w:sz w:val="20"/>
          <w:szCs w:val="20"/>
        </w:rPr>
      </w:pPr>
    </w:p>
    <w:p w14:paraId="51DDD97F" w14:textId="780590E8" w:rsidR="006904AB" w:rsidRPr="00712EC9" w:rsidRDefault="004B325A" w:rsidP="00A12B30">
      <w:pPr>
        <w:spacing w:after="0" w:line="240" w:lineRule="auto"/>
        <w:jc w:val="both"/>
        <w:rPr>
          <w:rFonts w:cstheme="minorHAnsi"/>
          <w:b/>
          <w:sz w:val="20"/>
          <w:szCs w:val="20"/>
        </w:rPr>
      </w:pPr>
      <w:r w:rsidRPr="00712EC9">
        <w:rPr>
          <w:rFonts w:cstheme="minorHAnsi"/>
          <w:b/>
          <w:sz w:val="20"/>
          <w:szCs w:val="20"/>
        </w:rPr>
        <w:t>FORNITORI</w:t>
      </w:r>
    </w:p>
    <w:p w14:paraId="1EF2F893" w14:textId="15278DFB"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I Fornitori dovranno rientrare in almeno una delle seguenti categorie:</w:t>
      </w:r>
    </w:p>
    <w:p w14:paraId="6A36F21F" w14:textId="74FE3AE0"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xml:space="preserve">- Ente accreditato presso la </w:t>
      </w:r>
      <w:r w:rsidR="004B325A" w:rsidRPr="00712EC9">
        <w:rPr>
          <w:rFonts w:cstheme="minorHAnsi"/>
          <w:bCs/>
          <w:sz w:val="20"/>
          <w:szCs w:val="20"/>
        </w:rPr>
        <w:t>R</w:t>
      </w:r>
      <w:r w:rsidRPr="00712EC9">
        <w:rPr>
          <w:rFonts w:cstheme="minorHAnsi"/>
          <w:bCs/>
          <w:sz w:val="20"/>
          <w:szCs w:val="20"/>
        </w:rPr>
        <w:t>egione;</w:t>
      </w:r>
    </w:p>
    <w:p w14:paraId="1021B8F2" w14:textId="0E9EBD4E"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Ente in possesso della Certificazione UNI EN ISO 9001:2015 (settore EA 37) e successive edizioni;</w:t>
      </w:r>
    </w:p>
    <w:p w14:paraId="78C0C68C" w14:textId="77777777"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Università italiana/estera;</w:t>
      </w:r>
    </w:p>
    <w:p w14:paraId="168DD043" w14:textId="77777777"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Ente con sistema di gestione della qualità certificato a livello internazionale;</w:t>
      </w:r>
    </w:p>
    <w:p w14:paraId="597B674A" w14:textId="77777777"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Ente di cui all'art. 1 della legge 40/87 riconosciuto dal Ministero del Lavoro;</w:t>
      </w:r>
    </w:p>
    <w:p w14:paraId="6E3670A0" w14:textId="77777777"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Istituto Tecnico e Istituto tecnico Superiore – ITS che rilasciano titoli di istruzione secondaria;</w:t>
      </w:r>
    </w:p>
    <w:p w14:paraId="398B95CC" w14:textId="77777777"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Professionista in possesso di idonea certificazione;</w:t>
      </w:r>
    </w:p>
    <w:p w14:paraId="64D21B4B" w14:textId="3AFE8DB3" w:rsidR="006904AB" w:rsidRPr="00712EC9" w:rsidRDefault="006904AB" w:rsidP="00A12B30">
      <w:pPr>
        <w:spacing w:after="0" w:line="240" w:lineRule="auto"/>
        <w:jc w:val="both"/>
        <w:rPr>
          <w:rFonts w:cstheme="minorHAnsi"/>
          <w:bCs/>
          <w:sz w:val="20"/>
          <w:szCs w:val="20"/>
        </w:rPr>
      </w:pPr>
      <w:r w:rsidRPr="00712EC9">
        <w:rPr>
          <w:rFonts w:cstheme="minorHAnsi"/>
          <w:bCs/>
          <w:sz w:val="20"/>
          <w:szCs w:val="20"/>
        </w:rPr>
        <w:t xml:space="preserve">- Professionista con almeno </w:t>
      </w:r>
      <w:proofErr w:type="gramStart"/>
      <w:r w:rsidRPr="00712EC9">
        <w:rPr>
          <w:rFonts w:cstheme="minorHAnsi"/>
          <w:bCs/>
          <w:sz w:val="20"/>
          <w:szCs w:val="20"/>
        </w:rPr>
        <w:t>5</w:t>
      </w:r>
      <w:proofErr w:type="gramEnd"/>
      <w:r w:rsidRPr="00712EC9">
        <w:rPr>
          <w:rFonts w:cstheme="minorHAnsi"/>
          <w:bCs/>
          <w:sz w:val="20"/>
          <w:szCs w:val="20"/>
        </w:rPr>
        <w:t xml:space="preserve"> anni di esperienza inerente al contenuto formativo da erogare.</w:t>
      </w:r>
      <w:r w:rsidRPr="00712EC9">
        <w:rPr>
          <w:rFonts w:cstheme="minorHAnsi"/>
          <w:bCs/>
          <w:sz w:val="20"/>
          <w:szCs w:val="20"/>
        </w:rPr>
        <w:cr/>
      </w:r>
    </w:p>
    <w:p w14:paraId="1BA9123A" w14:textId="4767D064" w:rsidR="00FF5D51" w:rsidRPr="00712EC9" w:rsidRDefault="00FF5D51" w:rsidP="00A12B30">
      <w:pPr>
        <w:spacing w:after="0" w:line="240" w:lineRule="auto"/>
        <w:jc w:val="both"/>
        <w:rPr>
          <w:rFonts w:cstheme="minorHAnsi"/>
          <w:b/>
          <w:bCs/>
          <w:sz w:val="20"/>
          <w:szCs w:val="20"/>
        </w:rPr>
      </w:pPr>
      <w:r w:rsidRPr="00712EC9">
        <w:rPr>
          <w:rFonts w:cstheme="minorHAnsi"/>
          <w:b/>
          <w:bCs/>
          <w:sz w:val="20"/>
          <w:szCs w:val="20"/>
        </w:rPr>
        <w:t>CONDIZIONI DI ESCLUSIONE</w:t>
      </w:r>
    </w:p>
    <w:p w14:paraId="70549F59" w14:textId="7CA603B5" w:rsidR="00FF5D51" w:rsidRPr="00712EC9" w:rsidRDefault="00A12B30" w:rsidP="00A12B30">
      <w:pPr>
        <w:spacing w:after="0" w:line="240" w:lineRule="auto"/>
        <w:jc w:val="both"/>
        <w:rPr>
          <w:rFonts w:cstheme="minorHAnsi"/>
          <w:sz w:val="20"/>
          <w:szCs w:val="20"/>
        </w:rPr>
      </w:pPr>
      <w:r>
        <w:rPr>
          <w:rFonts w:cstheme="minorHAnsi"/>
          <w:sz w:val="20"/>
          <w:szCs w:val="20"/>
        </w:rPr>
        <w:t>N</w:t>
      </w:r>
      <w:r w:rsidR="00FD563F" w:rsidRPr="00712EC9">
        <w:rPr>
          <w:rFonts w:cstheme="minorHAnsi"/>
          <w:sz w:val="20"/>
          <w:szCs w:val="20"/>
        </w:rPr>
        <w:t>on sono ammesse a partecipare al</w:t>
      </w:r>
      <w:r>
        <w:rPr>
          <w:rFonts w:cstheme="minorHAnsi"/>
          <w:sz w:val="20"/>
          <w:szCs w:val="20"/>
        </w:rPr>
        <w:t>l’</w:t>
      </w:r>
      <w:r w:rsidR="00FD563F" w:rsidRPr="00712EC9">
        <w:rPr>
          <w:rFonts w:cstheme="minorHAnsi"/>
          <w:sz w:val="20"/>
          <w:szCs w:val="20"/>
        </w:rPr>
        <w:t>Avviso</w:t>
      </w:r>
      <w:r>
        <w:rPr>
          <w:rFonts w:cstheme="minorHAnsi"/>
          <w:sz w:val="20"/>
          <w:szCs w:val="20"/>
        </w:rPr>
        <w:t xml:space="preserve"> 1/2024</w:t>
      </w:r>
      <w:r w:rsidR="00FD563F" w:rsidRPr="00712EC9">
        <w:rPr>
          <w:rFonts w:cstheme="minorHAnsi"/>
          <w:sz w:val="20"/>
          <w:szCs w:val="20"/>
        </w:rPr>
        <w:t xml:space="preserve"> le Grandi Imprese che hanno già beneficiato di un finanziamento attraverso gli Avvisi promossi dal Fondo nel 2023</w:t>
      </w:r>
      <w:r>
        <w:rPr>
          <w:rFonts w:cstheme="minorHAnsi"/>
          <w:sz w:val="20"/>
          <w:szCs w:val="20"/>
        </w:rPr>
        <w:t xml:space="preserve"> e/o </w:t>
      </w:r>
      <w:r w:rsidRPr="00A12B30">
        <w:rPr>
          <w:rFonts w:cstheme="minorHAnsi"/>
          <w:sz w:val="20"/>
          <w:szCs w:val="20"/>
        </w:rPr>
        <w:t>le imprese che si trovano in stato di liquidazione giudiziale, di liquidazione coatta amministrativa,</w:t>
      </w:r>
      <w:r>
        <w:rPr>
          <w:rFonts w:cstheme="minorHAnsi"/>
          <w:sz w:val="20"/>
          <w:szCs w:val="20"/>
        </w:rPr>
        <w:t xml:space="preserve"> </w:t>
      </w:r>
      <w:r w:rsidRPr="00A12B30">
        <w:rPr>
          <w:rFonts w:cstheme="minorHAnsi"/>
          <w:sz w:val="20"/>
          <w:szCs w:val="20"/>
        </w:rPr>
        <w:t>di concordato preventivo</w:t>
      </w:r>
      <w:r>
        <w:rPr>
          <w:rFonts w:cstheme="minorHAnsi"/>
          <w:sz w:val="20"/>
          <w:szCs w:val="20"/>
        </w:rPr>
        <w:t xml:space="preserve"> (salvo i casi descritti a pag. 4 dell’Avviso).</w:t>
      </w:r>
    </w:p>
    <w:p w14:paraId="31C359C7" w14:textId="1711C029" w:rsidR="00712EC9" w:rsidRPr="00712EC9" w:rsidRDefault="00712EC9" w:rsidP="00A12B30">
      <w:pPr>
        <w:spacing w:after="0" w:line="240" w:lineRule="auto"/>
        <w:jc w:val="both"/>
        <w:rPr>
          <w:rFonts w:cstheme="minorHAnsi"/>
          <w:bCs/>
          <w:sz w:val="20"/>
          <w:szCs w:val="20"/>
        </w:rPr>
      </w:pPr>
      <w:r w:rsidRPr="00712EC9">
        <w:rPr>
          <w:rFonts w:cstheme="minorHAnsi"/>
          <w:bCs/>
          <w:sz w:val="20"/>
          <w:szCs w:val="20"/>
        </w:rPr>
        <w:t xml:space="preserve">Saranno altresì </w:t>
      </w:r>
      <w:r w:rsidR="00A12B30">
        <w:rPr>
          <w:rFonts w:cstheme="minorHAnsi"/>
          <w:bCs/>
          <w:sz w:val="20"/>
          <w:szCs w:val="20"/>
        </w:rPr>
        <w:t>esclusi dal finanziamento</w:t>
      </w:r>
      <w:r w:rsidRPr="00712EC9">
        <w:rPr>
          <w:rFonts w:cstheme="minorHAnsi"/>
          <w:bCs/>
          <w:sz w:val="20"/>
          <w:szCs w:val="20"/>
        </w:rPr>
        <w:t>:</w:t>
      </w:r>
    </w:p>
    <w:p w14:paraId="0C649D1E" w14:textId="7CE078AE" w:rsidR="00712EC9" w:rsidRPr="00712EC9" w:rsidRDefault="00712EC9" w:rsidP="00A12B30">
      <w:pPr>
        <w:spacing w:after="0" w:line="240" w:lineRule="auto"/>
        <w:jc w:val="both"/>
        <w:rPr>
          <w:rFonts w:cstheme="minorHAnsi"/>
          <w:bCs/>
          <w:sz w:val="20"/>
          <w:szCs w:val="20"/>
        </w:rPr>
      </w:pPr>
      <w:r w:rsidRPr="00712EC9">
        <w:rPr>
          <w:rFonts w:cstheme="minorHAnsi"/>
          <w:bCs/>
          <w:sz w:val="20"/>
          <w:szCs w:val="20"/>
        </w:rPr>
        <w:t>- i Piani formativi per conformarsi alla normativa nazionale in materia di formazione obbligatoria, secondo quanto stabilito dal Decreto direttoriale n. 27 del 12 novembre 2014 con cui il Ministero del Lavoro e delle Politiche Sociali ha approvato il Regolamento per la concessione di Aiuti alle imprese per attività di formazione continua esentati ai sensi del Regolamento (UE) n. 651/2014. Pertanto, non potrà essere finanziata la formazione in materia di sicurezza del lavoro (formazione generale, specifica, antincendio, primo soccorso, RLS, Dirigenti, Preposti, RSPP, DPI, PLE, Spazi Confinati, lavoratrici madri, lavoro notturno, ecc.);</w:t>
      </w:r>
    </w:p>
    <w:p w14:paraId="0B8BCDCF" w14:textId="496C3074" w:rsidR="004B5190" w:rsidRDefault="00712EC9" w:rsidP="00A12B30">
      <w:pPr>
        <w:spacing w:after="0" w:line="240" w:lineRule="auto"/>
        <w:jc w:val="both"/>
        <w:rPr>
          <w:rFonts w:cstheme="minorHAnsi"/>
          <w:bCs/>
          <w:sz w:val="20"/>
          <w:szCs w:val="20"/>
        </w:rPr>
      </w:pPr>
      <w:r w:rsidRPr="00712EC9">
        <w:rPr>
          <w:rFonts w:cstheme="minorHAnsi"/>
          <w:bCs/>
          <w:sz w:val="20"/>
          <w:szCs w:val="20"/>
        </w:rPr>
        <w:t xml:space="preserve">- i Piani formativi per conformarsi al Regolamento (UE) n. 2016/679 General Data </w:t>
      </w:r>
      <w:proofErr w:type="spellStart"/>
      <w:r w:rsidRPr="00712EC9">
        <w:rPr>
          <w:rFonts w:cstheme="minorHAnsi"/>
          <w:bCs/>
          <w:sz w:val="20"/>
          <w:szCs w:val="20"/>
        </w:rPr>
        <w:t>Protection</w:t>
      </w:r>
      <w:proofErr w:type="spellEnd"/>
      <w:r w:rsidRPr="00712EC9">
        <w:rPr>
          <w:rFonts w:cstheme="minorHAnsi"/>
          <w:bCs/>
          <w:sz w:val="20"/>
          <w:szCs w:val="20"/>
        </w:rPr>
        <w:t xml:space="preserve"> </w:t>
      </w:r>
      <w:proofErr w:type="spellStart"/>
      <w:r w:rsidRPr="00712EC9">
        <w:rPr>
          <w:rFonts w:cstheme="minorHAnsi"/>
          <w:bCs/>
          <w:sz w:val="20"/>
          <w:szCs w:val="20"/>
        </w:rPr>
        <w:t>Regulation</w:t>
      </w:r>
      <w:proofErr w:type="spellEnd"/>
      <w:r w:rsidRPr="00712EC9">
        <w:rPr>
          <w:rFonts w:cstheme="minorHAnsi"/>
          <w:bCs/>
          <w:sz w:val="20"/>
          <w:szCs w:val="20"/>
        </w:rPr>
        <w:t>.</w:t>
      </w:r>
    </w:p>
    <w:p w14:paraId="48937F5F" w14:textId="77777777" w:rsidR="00A12B30" w:rsidRPr="00712EC9" w:rsidRDefault="00A12B30" w:rsidP="00A12B30">
      <w:pPr>
        <w:spacing w:after="0" w:line="240" w:lineRule="auto"/>
        <w:jc w:val="both"/>
        <w:rPr>
          <w:rFonts w:cstheme="minorHAnsi"/>
          <w:b/>
          <w:sz w:val="20"/>
          <w:szCs w:val="20"/>
        </w:rPr>
      </w:pPr>
    </w:p>
    <w:p w14:paraId="40FAB584" w14:textId="263BFAC8" w:rsidR="00FF5D51" w:rsidRPr="00712EC9" w:rsidRDefault="007C2414" w:rsidP="00A12B30">
      <w:pPr>
        <w:spacing w:after="0" w:line="240" w:lineRule="auto"/>
        <w:jc w:val="both"/>
        <w:rPr>
          <w:rFonts w:cstheme="minorHAnsi"/>
          <w:b/>
          <w:sz w:val="20"/>
          <w:szCs w:val="20"/>
        </w:rPr>
      </w:pPr>
      <w:r w:rsidRPr="00712EC9">
        <w:rPr>
          <w:rFonts w:cstheme="minorHAnsi"/>
          <w:b/>
          <w:sz w:val="20"/>
          <w:szCs w:val="20"/>
        </w:rPr>
        <w:t>CRITERI “BONUS”</w:t>
      </w:r>
      <w:r w:rsidR="00A12B30">
        <w:rPr>
          <w:rFonts w:cstheme="minorHAnsi"/>
          <w:b/>
          <w:sz w:val="20"/>
          <w:szCs w:val="20"/>
        </w:rPr>
        <w:t xml:space="preserve"> (punteggio alternativo, non cumulativo)</w:t>
      </w:r>
    </w:p>
    <w:p w14:paraId="3B11C4AD" w14:textId="33443EE3" w:rsidR="00FD563F" w:rsidRPr="00712EC9" w:rsidRDefault="00FD563F" w:rsidP="00A12B30">
      <w:pPr>
        <w:pStyle w:val="Default"/>
        <w:jc w:val="both"/>
        <w:rPr>
          <w:rFonts w:asciiTheme="minorHAnsi" w:hAnsiTheme="minorHAnsi" w:cstheme="minorHAnsi"/>
          <w:color w:val="auto"/>
          <w:sz w:val="20"/>
          <w:szCs w:val="20"/>
        </w:rPr>
      </w:pPr>
      <w:r w:rsidRPr="00712EC9">
        <w:rPr>
          <w:rFonts w:asciiTheme="minorHAnsi" w:hAnsiTheme="minorHAnsi" w:cstheme="minorHAnsi"/>
          <w:color w:val="auto"/>
          <w:sz w:val="20"/>
          <w:szCs w:val="20"/>
        </w:rPr>
        <w:t>+ 4 punti ai Piani aziendali singoli o in aggregazione presentati da una Piccola Impresa;</w:t>
      </w:r>
    </w:p>
    <w:p w14:paraId="2F387E74" w14:textId="5D9BB8ED" w:rsidR="00FD563F" w:rsidRPr="00712EC9" w:rsidRDefault="00FD563F" w:rsidP="00A12B30">
      <w:pPr>
        <w:pStyle w:val="Default"/>
        <w:jc w:val="both"/>
        <w:rPr>
          <w:rFonts w:asciiTheme="minorHAnsi" w:hAnsiTheme="minorHAnsi" w:cstheme="minorHAnsi"/>
          <w:color w:val="auto"/>
          <w:sz w:val="20"/>
          <w:szCs w:val="20"/>
        </w:rPr>
      </w:pPr>
      <w:r w:rsidRPr="00712EC9">
        <w:rPr>
          <w:rFonts w:asciiTheme="minorHAnsi" w:hAnsiTheme="minorHAnsi" w:cstheme="minorHAnsi"/>
          <w:color w:val="auto"/>
          <w:sz w:val="20"/>
          <w:szCs w:val="20"/>
        </w:rPr>
        <w:t>+ 4 punti ai Piani aziendali singoli o in aggregazione presentati da un’impresa (di qualunque dimensione) localizzata in una regione del Sud</w:t>
      </w:r>
      <w:r w:rsidR="00A12B30" w:rsidRPr="00712EC9">
        <w:rPr>
          <w:rFonts w:asciiTheme="minorHAnsi" w:hAnsiTheme="minorHAnsi" w:cstheme="minorHAnsi"/>
          <w:color w:val="auto"/>
          <w:sz w:val="20"/>
          <w:szCs w:val="20"/>
        </w:rPr>
        <w:t xml:space="preserve"> (Abruzzo, Molise, Campania, Puglia, Basilicata, Calabria, Sicilia, Sardegna)</w:t>
      </w:r>
      <w:r w:rsidR="00A12B30">
        <w:rPr>
          <w:rFonts w:asciiTheme="minorHAnsi" w:hAnsiTheme="minorHAnsi" w:cstheme="minorHAnsi"/>
          <w:color w:val="auto"/>
          <w:sz w:val="20"/>
          <w:szCs w:val="20"/>
        </w:rPr>
        <w:t xml:space="preserve"> </w:t>
      </w:r>
      <w:r w:rsidRPr="00712EC9">
        <w:rPr>
          <w:rFonts w:asciiTheme="minorHAnsi" w:hAnsiTheme="minorHAnsi" w:cstheme="minorHAnsi"/>
          <w:color w:val="auto"/>
          <w:sz w:val="20"/>
          <w:szCs w:val="20"/>
        </w:rPr>
        <w:t>e che prevedano la partecipazione di dirigenti operanti nella stessa sede legale/operativa dichiarata al Sud.</w:t>
      </w:r>
    </w:p>
    <w:p w14:paraId="33BD1144" w14:textId="77777777" w:rsidR="004B5190" w:rsidRPr="00712EC9" w:rsidRDefault="004B5190" w:rsidP="00A12B30">
      <w:pPr>
        <w:pStyle w:val="Default"/>
        <w:jc w:val="both"/>
        <w:rPr>
          <w:rFonts w:asciiTheme="minorHAnsi" w:hAnsiTheme="minorHAnsi" w:cstheme="minorHAnsi"/>
          <w:b/>
          <w:bCs/>
          <w:sz w:val="20"/>
          <w:szCs w:val="20"/>
        </w:rPr>
      </w:pPr>
    </w:p>
    <w:p w14:paraId="216E330C" w14:textId="603D3B2F" w:rsidR="00FF5D51" w:rsidRPr="00712EC9" w:rsidRDefault="00FF5D51" w:rsidP="00A12B30">
      <w:pPr>
        <w:pStyle w:val="Default"/>
        <w:jc w:val="both"/>
        <w:rPr>
          <w:rFonts w:cstheme="minorHAnsi"/>
          <w:b/>
          <w:sz w:val="20"/>
          <w:szCs w:val="20"/>
        </w:rPr>
      </w:pPr>
      <w:r w:rsidRPr="00712EC9">
        <w:rPr>
          <w:rFonts w:asciiTheme="minorHAnsi" w:hAnsiTheme="minorHAnsi" w:cstheme="minorHAnsi"/>
          <w:b/>
          <w:bCs/>
          <w:sz w:val="20"/>
          <w:szCs w:val="20"/>
        </w:rPr>
        <w:t xml:space="preserve">PRESENTAZIONE </w:t>
      </w:r>
      <w:r w:rsidRPr="00712EC9">
        <w:rPr>
          <w:rFonts w:asciiTheme="minorHAnsi" w:hAnsiTheme="minorHAnsi" w:cstheme="minorHAnsi"/>
          <w:sz w:val="20"/>
          <w:szCs w:val="20"/>
        </w:rPr>
        <w:t xml:space="preserve">a partire dalle ore 12.00 del </w:t>
      </w:r>
      <w:r w:rsidR="00712EC9" w:rsidRPr="00712EC9">
        <w:rPr>
          <w:rFonts w:asciiTheme="minorHAnsi" w:hAnsiTheme="minorHAnsi" w:cstheme="minorHAnsi"/>
          <w:b/>
          <w:bCs/>
          <w:sz w:val="20"/>
          <w:szCs w:val="20"/>
        </w:rPr>
        <w:t>08 maggio 2024</w:t>
      </w:r>
      <w:r w:rsidRPr="00712EC9">
        <w:rPr>
          <w:rFonts w:asciiTheme="minorHAnsi" w:hAnsiTheme="minorHAnsi" w:cstheme="minorHAnsi"/>
          <w:sz w:val="20"/>
          <w:szCs w:val="20"/>
        </w:rPr>
        <w:t xml:space="preserve"> e fino alle ore 12.00 del </w:t>
      </w:r>
      <w:r w:rsidR="00712EC9" w:rsidRPr="00712EC9">
        <w:rPr>
          <w:rFonts w:asciiTheme="minorHAnsi" w:hAnsiTheme="minorHAnsi" w:cstheme="minorHAnsi"/>
          <w:b/>
          <w:bCs/>
          <w:sz w:val="20"/>
          <w:szCs w:val="20"/>
        </w:rPr>
        <w:t>20 giugno 2024.</w:t>
      </w:r>
      <w:r w:rsidRPr="00712EC9">
        <w:rPr>
          <w:rFonts w:asciiTheme="minorHAnsi" w:hAnsiTheme="minorHAnsi" w:cstheme="minorHAnsi"/>
          <w:sz w:val="20"/>
          <w:szCs w:val="20"/>
        </w:rPr>
        <w:t xml:space="preserve"> </w:t>
      </w:r>
    </w:p>
    <w:p w14:paraId="4306F524" w14:textId="77777777" w:rsidR="004B5190" w:rsidRPr="00712EC9" w:rsidRDefault="004B5190" w:rsidP="00A12B30">
      <w:pPr>
        <w:spacing w:after="0" w:line="240" w:lineRule="auto"/>
        <w:jc w:val="both"/>
        <w:rPr>
          <w:rFonts w:cstheme="minorHAnsi"/>
          <w:b/>
          <w:sz w:val="20"/>
          <w:szCs w:val="20"/>
        </w:rPr>
      </w:pPr>
    </w:p>
    <w:p w14:paraId="571B2FD9" w14:textId="77777777" w:rsidR="000C5DBF" w:rsidRPr="00712EC9" w:rsidRDefault="00154A86" w:rsidP="00A12B30">
      <w:pPr>
        <w:spacing w:after="0" w:line="240" w:lineRule="auto"/>
        <w:jc w:val="both"/>
        <w:rPr>
          <w:rFonts w:cstheme="minorHAnsi"/>
          <w:bCs/>
          <w:sz w:val="20"/>
          <w:szCs w:val="20"/>
        </w:rPr>
      </w:pPr>
      <w:r w:rsidRPr="00712EC9">
        <w:rPr>
          <w:rFonts w:cstheme="minorHAnsi"/>
          <w:b/>
          <w:sz w:val="20"/>
          <w:szCs w:val="20"/>
        </w:rPr>
        <w:t xml:space="preserve">PER MAGGIORI INFORMAZIONI </w:t>
      </w:r>
      <w:r w:rsidR="000C5DBF" w:rsidRPr="00712EC9">
        <w:rPr>
          <w:rFonts w:cstheme="minorHAnsi"/>
          <w:bCs/>
          <w:sz w:val="20"/>
          <w:szCs w:val="20"/>
        </w:rPr>
        <w:t xml:space="preserve">è possibile contattare </w:t>
      </w:r>
      <w:r w:rsidRPr="00712EC9">
        <w:rPr>
          <w:rFonts w:cstheme="minorHAnsi"/>
          <w:b/>
          <w:sz w:val="20"/>
          <w:szCs w:val="20"/>
        </w:rPr>
        <w:t>Milena Pano</w:t>
      </w:r>
      <w:r w:rsidR="000C5DBF" w:rsidRPr="00712EC9">
        <w:rPr>
          <w:rFonts w:cstheme="minorHAnsi"/>
          <w:bCs/>
          <w:sz w:val="20"/>
          <w:szCs w:val="20"/>
        </w:rPr>
        <w:t xml:space="preserve"> ai seguenti contatti</w:t>
      </w:r>
      <w:r w:rsidRPr="00712EC9">
        <w:rPr>
          <w:rFonts w:cstheme="minorHAnsi"/>
          <w:bCs/>
          <w:sz w:val="20"/>
          <w:szCs w:val="20"/>
        </w:rPr>
        <w:t xml:space="preserve">: </w:t>
      </w:r>
    </w:p>
    <w:p w14:paraId="10B9170F" w14:textId="497B7209" w:rsidR="00154A86" w:rsidRPr="00A12B30" w:rsidRDefault="000C5DBF" w:rsidP="00A12B30">
      <w:pPr>
        <w:spacing w:after="0" w:line="240" w:lineRule="auto"/>
        <w:jc w:val="both"/>
        <w:rPr>
          <w:rFonts w:cstheme="minorHAnsi"/>
          <w:bCs/>
          <w:sz w:val="20"/>
          <w:szCs w:val="20"/>
        </w:rPr>
      </w:pPr>
      <w:r w:rsidRPr="00712EC9">
        <w:rPr>
          <w:rFonts w:cstheme="minorHAnsi"/>
          <w:bCs/>
          <w:sz w:val="20"/>
          <w:szCs w:val="20"/>
        </w:rPr>
        <w:t xml:space="preserve">e-mail: </w:t>
      </w:r>
      <w:hyperlink r:id="rId8" w:history="1">
        <w:r w:rsidRPr="00712EC9">
          <w:rPr>
            <w:rStyle w:val="Collegamentoipertestuale"/>
            <w:rFonts w:cstheme="minorHAnsi"/>
            <w:bCs/>
            <w:sz w:val="20"/>
            <w:szCs w:val="20"/>
          </w:rPr>
          <w:t>pano.m@cerform.it</w:t>
        </w:r>
      </w:hyperlink>
      <w:r w:rsidR="00154A86" w:rsidRPr="00712EC9">
        <w:rPr>
          <w:rFonts w:cstheme="minorHAnsi"/>
          <w:bCs/>
          <w:sz w:val="20"/>
          <w:szCs w:val="20"/>
        </w:rPr>
        <w:t xml:space="preserve"> </w:t>
      </w:r>
      <w:r w:rsidRPr="00A12B30">
        <w:rPr>
          <w:rFonts w:cstheme="minorHAnsi"/>
          <w:bCs/>
          <w:sz w:val="20"/>
          <w:szCs w:val="20"/>
        </w:rPr>
        <w:t>cellulare aziendale:</w:t>
      </w:r>
      <w:r w:rsidR="008C5BD5" w:rsidRPr="00A12B30">
        <w:rPr>
          <w:rFonts w:cstheme="minorHAnsi"/>
          <w:bCs/>
          <w:sz w:val="20"/>
          <w:szCs w:val="20"/>
        </w:rPr>
        <w:t xml:space="preserve"> </w:t>
      </w:r>
      <w:r w:rsidR="004B325A" w:rsidRPr="00A12B30">
        <w:rPr>
          <w:rFonts w:cstheme="minorHAnsi"/>
          <w:bCs/>
          <w:sz w:val="20"/>
          <w:szCs w:val="20"/>
        </w:rPr>
        <w:t>333.188.99.20</w:t>
      </w:r>
    </w:p>
    <w:sectPr w:rsidR="00154A86" w:rsidRPr="00A12B3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D2000" w14:textId="77777777" w:rsidR="003D5761" w:rsidRDefault="003D5761" w:rsidP="00B2395F">
      <w:pPr>
        <w:spacing w:after="0" w:line="240" w:lineRule="auto"/>
      </w:pPr>
      <w:r>
        <w:separator/>
      </w:r>
    </w:p>
  </w:endnote>
  <w:endnote w:type="continuationSeparator" w:id="0">
    <w:p w14:paraId="18D38047" w14:textId="77777777" w:rsidR="003D5761" w:rsidRDefault="003D5761" w:rsidP="00B2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AF200" w14:textId="77777777" w:rsidR="003D5761" w:rsidRDefault="003D5761" w:rsidP="00B2395F">
      <w:pPr>
        <w:spacing w:after="0" w:line="240" w:lineRule="auto"/>
      </w:pPr>
      <w:r>
        <w:separator/>
      </w:r>
    </w:p>
  </w:footnote>
  <w:footnote w:type="continuationSeparator" w:id="0">
    <w:p w14:paraId="42ED9217" w14:textId="77777777" w:rsidR="003D5761" w:rsidRDefault="003D5761" w:rsidP="00B2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219F6" w14:textId="40D58E35" w:rsidR="00B2395F" w:rsidRDefault="00323B83" w:rsidP="007B3DB9">
    <w:pPr>
      <w:pStyle w:val="Intestazione"/>
      <w:jc w:val="center"/>
    </w:pPr>
    <w:r>
      <w:rPr>
        <w:noProof/>
      </w:rPr>
      <w:drawing>
        <wp:anchor distT="0" distB="0" distL="114300" distR="114300" simplePos="0" relativeHeight="251662336" behindDoc="0" locked="0" layoutInCell="1" allowOverlap="1" wp14:anchorId="43BBC308" wp14:editId="0B6B7D6F">
          <wp:simplePos x="0" y="0"/>
          <wp:positionH relativeFrom="column">
            <wp:posOffset>2432685</wp:posOffset>
          </wp:positionH>
          <wp:positionV relativeFrom="paragraph">
            <wp:posOffset>-354330</wp:posOffset>
          </wp:positionV>
          <wp:extent cx="1581785" cy="535940"/>
          <wp:effectExtent l="0" t="0" r="0" b="0"/>
          <wp:wrapSquare wrapText="bothSides"/>
          <wp:docPr id="862620520" name="Immagine 4"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620520" name="Immagine 4" descr="Immagine che contiene testo, Carattere, Elementi grafici,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535940"/>
                  </a:xfrm>
                  <a:prstGeom prst="rect">
                    <a:avLst/>
                  </a:prstGeom>
                </pic:spPr>
              </pic:pic>
            </a:graphicData>
          </a:graphic>
          <wp14:sizeRelH relativeFrom="margin">
            <wp14:pctWidth>0</wp14:pctWidth>
          </wp14:sizeRelH>
          <wp14:sizeRelV relativeFrom="margin">
            <wp14:pctHeight>0</wp14:pctHeight>
          </wp14:sizeRelV>
        </wp:anchor>
      </w:drawing>
    </w:r>
    <w:r w:rsidR="00B2395F" w:rsidRPr="00B2395F">
      <w:rPr>
        <w:noProof/>
      </w:rPr>
      <w:drawing>
        <wp:anchor distT="0" distB="0" distL="114300" distR="114300" simplePos="0" relativeHeight="251658240" behindDoc="1" locked="0" layoutInCell="1" allowOverlap="1" wp14:anchorId="77723E37" wp14:editId="43FF9F89">
          <wp:simplePos x="0" y="0"/>
          <wp:positionH relativeFrom="margin">
            <wp:align>left</wp:align>
          </wp:positionH>
          <wp:positionV relativeFrom="paragraph">
            <wp:posOffset>-281305</wp:posOffset>
          </wp:positionV>
          <wp:extent cx="1782109" cy="480060"/>
          <wp:effectExtent l="0" t="0" r="8890" b="0"/>
          <wp:wrapNone/>
          <wp:docPr id="11" name="Immagine 10" descr="Immagine che contiene testo, stazionario, bigliettodavisita, busta&#10;&#10;Descrizione generata automaticamente">
            <a:extLst xmlns:a="http://schemas.openxmlformats.org/drawingml/2006/main">
              <a:ext uri="{FF2B5EF4-FFF2-40B4-BE49-F238E27FC236}">
                <a16:creationId xmlns:a16="http://schemas.microsoft.com/office/drawing/2014/main" id="{A41A6ED8-360F-82EA-88C1-09ECEE7474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 stazionario, bigliettodavisita, busta&#10;&#10;Descrizione generata automaticamente">
                    <a:extLst>
                      <a:ext uri="{FF2B5EF4-FFF2-40B4-BE49-F238E27FC236}">
                        <a16:creationId xmlns:a16="http://schemas.microsoft.com/office/drawing/2014/main" id="{A41A6ED8-360F-82EA-88C1-09ECEE7474B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82109" cy="480060"/>
                  </a:xfrm>
                  <a:prstGeom prst="rect">
                    <a:avLst/>
                  </a:prstGeom>
                </pic:spPr>
              </pic:pic>
            </a:graphicData>
          </a:graphic>
          <wp14:sizeRelH relativeFrom="margin">
            <wp14:pctWidth>0</wp14:pctWidth>
          </wp14:sizeRelH>
          <wp14:sizeRelV relativeFrom="margin">
            <wp14:pctHeight>0</wp14:pctHeight>
          </wp14:sizeRelV>
        </wp:anchor>
      </w:drawing>
    </w:r>
    <w:r w:rsidR="00B2395F">
      <w:rPr>
        <w:noProof/>
      </w:rPr>
      <w:drawing>
        <wp:anchor distT="0" distB="0" distL="114300" distR="114300" simplePos="0" relativeHeight="251661312" behindDoc="1" locked="0" layoutInCell="1" allowOverlap="1" wp14:anchorId="33BCBA80" wp14:editId="07309005">
          <wp:simplePos x="0" y="0"/>
          <wp:positionH relativeFrom="margin">
            <wp:align>right</wp:align>
          </wp:positionH>
          <wp:positionV relativeFrom="paragraph">
            <wp:posOffset>-335280</wp:posOffset>
          </wp:positionV>
          <wp:extent cx="1394460" cy="576377"/>
          <wp:effectExtent l="0" t="0" r="0" b="0"/>
          <wp:wrapNone/>
          <wp:docPr id="1952250333" name="Immagine 2"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250333" name="Immagine 2" descr="Immagine che contiene Carattere, Elementi grafici, schermata, log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4460" cy="5763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31E74"/>
    <w:multiLevelType w:val="hybridMultilevel"/>
    <w:tmpl w:val="26BE98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220CC0"/>
    <w:multiLevelType w:val="hybridMultilevel"/>
    <w:tmpl w:val="DE2A70DA"/>
    <w:lvl w:ilvl="0" w:tplc="9980319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1D7EE9"/>
    <w:multiLevelType w:val="hybridMultilevel"/>
    <w:tmpl w:val="06949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B25749"/>
    <w:multiLevelType w:val="hybridMultilevel"/>
    <w:tmpl w:val="B1D24F1A"/>
    <w:lvl w:ilvl="0" w:tplc="78CC9D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8092C"/>
    <w:multiLevelType w:val="hybridMultilevel"/>
    <w:tmpl w:val="2C3440B0"/>
    <w:lvl w:ilvl="0" w:tplc="78CC9D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1A58DC"/>
    <w:multiLevelType w:val="hybridMultilevel"/>
    <w:tmpl w:val="6D84C2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A32335"/>
    <w:multiLevelType w:val="hybridMultilevel"/>
    <w:tmpl w:val="B90C83BC"/>
    <w:lvl w:ilvl="0" w:tplc="78CC9D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475F1D"/>
    <w:multiLevelType w:val="hybridMultilevel"/>
    <w:tmpl w:val="66403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AC6B12"/>
    <w:multiLevelType w:val="hybridMultilevel"/>
    <w:tmpl w:val="BDE0E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D64CCD"/>
    <w:multiLevelType w:val="hybridMultilevel"/>
    <w:tmpl w:val="21CC13C4"/>
    <w:lvl w:ilvl="0" w:tplc="78CC9D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7429DC"/>
    <w:multiLevelType w:val="hybridMultilevel"/>
    <w:tmpl w:val="16A28D5A"/>
    <w:lvl w:ilvl="0" w:tplc="7AA207E4">
      <w:start w:val="1"/>
      <w:numFmt w:val="bullet"/>
      <w:lvlText w:val="-"/>
      <w:lvlJc w:val="left"/>
      <w:pPr>
        <w:ind w:left="720" w:hanging="360"/>
      </w:pPr>
      <w:rPr>
        <w:rFonts w:ascii="Sitka Display" w:hAnsi="Sitka Displa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B721EB"/>
    <w:multiLevelType w:val="hybridMultilevel"/>
    <w:tmpl w:val="F9B41598"/>
    <w:lvl w:ilvl="0" w:tplc="7AA207E4">
      <w:start w:val="1"/>
      <w:numFmt w:val="bullet"/>
      <w:lvlText w:val="-"/>
      <w:lvlJc w:val="left"/>
      <w:pPr>
        <w:ind w:left="720" w:hanging="360"/>
      </w:pPr>
      <w:rPr>
        <w:rFonts w:ascii="Sitka Display" w:hAnsi="Sitka Displa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2788A"/>
    <w:multiLevelType w:val="hybridMultilevel"/>
    <w:tmpl w:val="D354CBD6"/>
    <w:lvl w:ilvl="0" w:tplc="A024169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3D742B"/>
    <w:multiLevelType w:val="hybridMultilevel"/>
    <w:tmpl w:val="F3769A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B85086"/>
    <w:multiLevelType w:val="hybridMultilevel"/>
    <w:tmpl w:val="F04E9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D9533B"/>
    <w:multiLevelType w:val="hybridMultilevel"/>
    <w:tmpl w:val="5F5604B8"/>
    <w:lvl w:ilvl="0" w:tplc="78CC9D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D10634"/>
    <w:multiLevelType w:val="hybridMultilevel"/>
    <w:tmpl w:val="D5C20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7518D3"/>
    <w:multiLevelType w:val="hybridMultilevel"/>
    <w:tmpl w:val="149277E8"/>
    <w:lvl w:ilvl="0" w:tplc="850C84B2">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666F45"/>
    <w:multiLevelType w:val="hybridMultilevel"/>
    <w:tmpl w:val="EE54951C"/>
    <w:lvl w:ilvl="0" w:tplc="04100011">
      <w:start w:val="1"/>
      <w:numFmt w:val="decimal"/>
      <w:lvlText w:val="%1)"/>
      <w:lvlJc w:val="left"/>
      <w:pPr>
        <w:ind w:left="720" w:hanging="360"/>
      </w:pPr>
    </w:lvl>
    <w:lvl w:ilvl="1" w:tplc="F4889E80">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40349">
    <w:abstractNumId w:val="5"/>
  </w:num>
  <w:num w:numId="2" w16cid:durableId="1869367781">
    <w:abstractNumId w:val="8"/>
  </w:num>
  <w:num w:numId="3" w16cid:durableId="228347864">
    <w:abstractNumId w:val="11"/>
  </w:num>
  <w:num w:numId="4" w16cid:durableId="50735766">
    <w:abstractNumId w:val="10"/>
  </w:num>
  <w:num w:numId="5" w16cid:durableId="2081831458">
    <w:abstractNumId w:val="13"/>
  </w:num>
  <w:num w:numId="6" w16cid:durableId="1318653983">
    <w:abstractNumId w:val="0"/>
  </w:num>
  <w:num w:numId="7" w16cid:durableId="1724865178">
    <w:abstractNumId w:val="18"/>
  </w:num>
  <w:num w:numId="8" w16cid:durableId="1797681384">
    <w:abstractNumId w:val="17"/>
  </w:num>
  <w:num w:numId="9" w16cid:durableId="2136410264">
    <w:abstractNumId w:val="16"/>
  </w:num>
  <w:num w:numId="10" w16cid:durableId="265038041">
    <w:abstractNumId w:val="12"/>
  </w:num>
  <w:num w:numId="11" w16cid:durableId="625309338">
    <w:abstractNumId w:val="1"/>
  </w:num>
  <w:num w:numId="12" w16cid:durableId="1271821260">
    <w:abstractNumId w:val="9"/>
  </w:num>
  <w:num w:numId="13" w16cid:durableId="581110912">
    <w:abstractNumId w:val="7"/>
  </w:num>
  <w:num w:numId="14" w16cid:durableId="152569777">
    <w:abstractNumId w:val="14"/>
  </w:num>
  <w:num w:numId="15" w16cid:durableId="1156262424">
    <w:abstractNumId w:val="2"/>
  </w:num>
  <w:num w:numId="16" w16cid:durableId="916089330">
    <w:abstractNumId w:val="6"/>
  </w:num>
  <w:num w:numId="17" w16cid:durableId="1330712810">
    <w:abstractNumId w:val="3"/>
  </w:num>
  <w:num w:numId="18" w16cid:durableId="1350912826">
    <w:abstractNumId w:val="4"/>
  </w:num>
  <w:num w:numId="19" w16cid:durableId="11793908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7F"/>
    <w:rsid w:val="00044307"/>
    <w:rsid w:val="00086D29"/>
    <w:rsid w:val="000C5DBF"/>
    <w:rsid w:val="00112FAE"/>
    <w:rsid w:val="00154A86"/>
    <w:rsid w:val="00173E1C"/>
    <w:rsid w:val="0017419C"/>
    <w:rsid w:val="00182477"/>
    <w:rsid w:val="001D75A0"/>
    <w:rsid w:val="0025528F"/>
    <w:rsid w:val="002718C0"/>
    <w:rsid w:val="002B45D5"/>
    <w:rsid w:val="002F26DE"/>
    <w:rsid w:val="00323B83"/>
    <w:rsid w:val="003667E5"/>
    <w:rsid w:val="003969BC"/>
    <w:rsid w:val="003A2DB4"/>
    <w:rsid w:val="003C21E4"/>
    <w:rsid w:val="003D1DA2"/>
    <w:rsid w:val="003D5761"/>
    <w:rsid w:val="003E29A5"/>
    <w:rsid w:val="0042443E"/>
    <w:rsid w:val="004445A6"/>
    <w:rsid w:val="0046131D"/>
    <w:rsid w:val="004B325A"/>
    <w:rsid w:val="004B5190"/>
    <w:rsid w:val="00557653"/>
    <w:rsid w:val="006246E6"/>
    <w:rsid w:val="00656F5C"/>
    <w:rsid w:val="006730FE"/>
    <w:rsid w:val="00682699"/>
    <w:rsid w:val="006904AB"/>
    <w:rsid w:val="006A246C"/>
    <w:rsid w:val="006B73E7"/>
    <w:rsid w:val="00700D90"/>
    <w:rsid w:val="00707B39"/>
    <w:rsid w:val="00711353"/>
    <w:rsid w:val="00712EC9"/>
    <w:rsid w:val="00722F14"/>
    <w:rsid w:val="00762F86"/>
    <w:rsid w:val="00766E14"/>
    <w:rsid w:val="00783183"/>
    <w:rsid w:val="00783A61"/>
    <w:rsid w:val="007B3B3F"/>
    <w:rsid w:val="007B3DB9"/>
    <w:rsid w:val="007C2414"/>
    <w:rsid w:val="007C2636"/>
    <w:rsid w:val="007F5367"/>
    <w:rsid w:val="00864BAB"/>
    <w:rsid w:val="00890A24"/>
    <w:rsid w:val="008C22F4"/>
    <w:rsid w:val="008C5BD5"/>
    <w:rsid w:val="00907F7E"/>
    <w:rsid w:val="00947E80"/>
    <w:rsid w:val="009C5991"/>
    <w:rsid w:val="009C7A26"/>
    <w:rsid w:val="009E137D"/>
    <w:rsid w:val="009F2A96"/>
    <w:rsid w:val="00A12B30"/>
    <w:rsid w:val="00AF7C2D"/>
    <w:rsid w:val="00B035C1"/>
    <w:rsid w:val="00B05F79"/>
    <w:rsid w:val="00B14038"/>
    <w:rsid w:val="00B2395F"/>
    <w:rsid w:val="00B32C50"/>
    <w:rsid w:val="00B807AA"/>
    <w:rsid w:val="00BB5C33"/>
    <w:rsid w:val="00C0391C"/>
    <w:rsid w:val="00C14F4F"/>
    <w:rsid w:val="00C4174A"/>
    <w:rsid w:val="00C6797F"/>
    <w:rsid w:val="00CE5CDA"/>
    <w:rsid w:val="00D14217"/>
    <w:rsid w:val="00D231B9"/>
    <w:rsid w:val="00D25904"/>
    <w:rsid w:val="00D97631"/>
    <w:rsid w:val="00DC7BB8"/>
    <w:rsid w:val="00EF52F7"/>
    <w:rsid w:val="00F34B3C"/>
    <w:rsid w:val="00FD563F"/>
    <w:rsid w:val="00FF05CB"/>
    <w:rsid w:val="00FF5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CF02"/>
  <w15:chartTrackingRefBased/>
  <w15:docId w15:val="{406DFE68-BE09-4C6D-85F2-6F60D834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3A61"/>
    <w:pPr>
      <w:ind w:left="720"/>
      <w:contextualSpacing/>
    </w:pPr>
  </w:style>
  <w:style w:type="paragraph" w:customStyle="1" w:styleId="Default">
    <w:name w:val="Default"/>
    <w:rsid w:val="007F536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7F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239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395F"/>
  </w:style>
  <w:style w:type="paragraph" w:styleId="Pidipagina">
    <w:name w:val="footer"/>
    <w:basedOn w:val="Normale"/>
    <w:link w:val="PidipaginaCarattere"/>
    <w:uiPriority w:val="99"/>
    <w:unhideWhenUsed/>
    <w:rsid w:val="00B239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395F"/>
  </w:style>
  <w:style w:type="character" w:styleId="Collegamentoipertestuale">
    <w:name w:val="Hyperlink"/>
    <w:basedOn w:val="Carpredefinitoparagrafo"/>
    <w:uiPriority w:val="99"/>
    <w:unhideWhenUsed/>
    <w:rsid w:val="00154A86"/>
    <w:rPr>
      <w:color w:val="0563C1" w:themeColor="hyperlink"/>
      <w:u w:val="single"/>
    </w:rPr>
  </w:style>
  <w:style w:type="character" w:styleId="Menzionenonrisolta">
    <w:name w:val="Unresolved Mention"/>
    <w:basedOn w:val="Carpredefinitoparagrafo"/>
    <w:uiPriority w:val="99"/>
    <w:semiHidden/>
    <w:unhideWhenUsed/>
    <w:rsid w:val="0015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m@cerfor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5719-38D6-4E21-9B34-B9CDE97D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1051</Words>
  <Characters>5992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Elena Sabattini</cp:lastModifiedBy>
  <cp:revision>2</cp:revision>
  <cp:lastPrinted>2023-10-31T07:56:00Z</cp:lastPrinted>
  <dcterms:created xsi:type="dcterms:W3CDTF">2024-04-24T11:04:00Z</dcterms:created>
  <dcterms:modified xsi:type="dcterms:W3CDTF">2024-04-24T11:04:00Z</dcterms:modified>
</cp:coreProperties>
</file>